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46A76B38" w14:textId="4BF545F0" w:rsidR="00872908" w:rsidRPr="00047508" w:rsidRDefault="00872908" w:rsidP="00872908">
            <w:pPr>
              <w:rPr>
                <w:rFonts w:ascii="Arial" w:hAnsi="Arial" w:cs="Arial"/>
                <w:sz w:val="20"/>
                <w:szCs w:val="20"/>
              </w:rPr>
            </w:pPr>
            <w:r w:rsidRPr="00047508">
              <w:rPr>
                <w:rFonts w:ascii="Arial" w:hAnsi="Arial" w:cs="Arial"/>
                <w:sz w:val="20"/>
                <w:szCs w:val="20"/>
              </w:rPr>
              <w:t>202</w:t>
            </w:r>
            <w:r w:rsidR="00F020E6">
              <w:rPr>
                <w:rFonts w:ascii="Arial" w:hAnsi="Arial" w:cs="Arial"/>
                <w:sz w:val="20"/>
                <w:szCs w:val="20"/>
              </w:rPr>
              <w:t>4</w:t>
            </w:r>
            <w:r w:rsidRPr="00047508">
              <w:rPr>
                <w:rFonts w:ascii="Arial" w:hAnsi="Arial" w:cs="Arial"/>
                <w:sz w:val="20"/>
                <w:szCs w:val="20"/>
              </w:rPr>
              <w:t>-0</w:t>
            </w:r>
            <w:r w:rsidR="00F020E6">
              <w:rPr>
                <w:rFonts w:ascii="Arial" w:hAnsi="Arial" w:cs="Arial"/>
                <w:sz w:val="20"/>
                <w:szCs w:val="20"/>
              </w:rPr>
              <w:t>1</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787B98A8" w14:textId="4EE90F91" w:rsidR="00872908" w:rsidRPr="00047508" w:rsidRDefault="007D49A1" w:rsidP="00872908">
            <w:pPr>
              <w:rPr>
                <w:rFonts w:ascii="Arial" w:hAnsi="Arial" w:cs="Arial"/>
                <w:sz w:val="20"/>
                <w:szCs w:val="20"/>
              </w:rPr>
            </w:pPr>
            <w:r>
              <w:rPr>
                <w:rFonts w:ascii="Arial" w:hAnsi="Arial" w:cs="Arial"/>
                <w:sz w:val="20"/>
                <w:szCs w:val="20"/>
              </w:rPr>
              <w:t>B</w:t>
            </w:r>
            <w:r w:rsidR="00872908" w:rsidRPr="00047508">
              <w:rPr>
                <w:rFonts w:ascii="Arial" w:hAnsi="Arial" w:cs="Arial"/>
                <w:sz w:val="20"/>
                <w:szCs w:val="20"/>
              </w:rPr>
              <w:t>esluit</w:t>
            </w:r>
            <w:r>
              <w:rPr>
                <w:rFonts w:ascii="Arial" w:hAnsi="Arial" w:cs="Arial"/>
                <w:sz w:val="20"/>
                <w:szCs w:val="20"/>
              </w:rPr>
              <w:t xml:space="preserve"> </w:t>
            </w:r>
            <w:r w:rsidR="00F020E6">
              <w:rPr>
                <w:rFonts w:ascii="Arial" w:hAnsi="Arial" w:cs="Arial"/>
                <w:sz w:val="20"/>
                <w:szCs w:val="20"/>
              </w:rPr>
              <w:t xml:space="preserve">namen </w:t>
            </w:r>
            <w:r w:rsidR="00EC6E1E">
              <w:rPr>
                <w:rFonts w:ascii="Arial" w:hAnsi="Arial" w:cs="Arial"/>
                <w:sz w:val="20"/>
                <w:szCs w:val="20"/>
              </w:rPr>
              <w:t>geïnterviewden</w:t>
            </w:r>
            <w:r w:rsidR="00F020E6">
              <w:rPr>
                <w:rFonts w:ascii="Arial" w:hAnsi="Arial" w:cs="Arial"/>
                <w:sz w:val="20"/>
                <w:szCs w:val="20"/>
              </w:rPr>
              <w:t xml:space="preserve"> in auditrapportage</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6F183283" w14:textId="0FCF544A" w:rsidR="00872908" w:rsidRPr="00047508" w:rsidRDefault="00872908" w:rsidP="00872908">
            <w:pPr>
              <w:rPr>
                <w:rFonts w:ascii="Arial" w:hAnsi="Arial" w:cs="Arial"/>
                <w:sz w:val="20"/>
                <w:szCs w:val="20"/>
              </w:rPr>
            </w:pPr>
            <w:r w:rsidRPr="00047508">
              <w:rPr>
                <w:rFonts w:ascii="Arial" w:hAnsi="Arial" w:cs="Arial"/>
                <w:sz w:val="20"/>
                <w:szCs w:val="20"/>
              </w:rPr>
              <w:t>202</w:t>
            </w:r>
            <w:r w:rsidR="00D216A6">
              <w:rPr>
                <w:rFonts w:ascii="Arial" w:hAnsi="Arial" w:cs="Arial"/>
                <w:sz w:val="20"/>
                <w:szCs w:val="20"/>
              </w:rPr>
              <w:t>4</w:t>
            </w:r>
            <w:r w:rsidRPr="00047508">
              <w:rPr>
                <w:rFonts w:ascii="Arial" w:hAnsi="Arial" w:cs="Arial"/>
                <w:sz w:val="20"/>
                <w:szCs w:val="20"/>
              </w:rPr>
              <w:t>-</w:t>
            </w:r>
            <w:r w:rsidR="00D216A6">
              <w:rPr>
                <w:rFonts w:ascii="Arial" w:hAnsi="Arial" w:cs="Arial"/>
                <w:sz w:val="20"/>
                <w:szCs w:val="20"/>
              </w:rPr>
              <w:t>11</w:t>
            </w:r>
            <w:r w:rsidR="007F4010">
              <w:rPr>
                <w:rFonts w:ascii="Arial" w:hAnsi="Arial" w:cs="Arial"/>
                <w:sz w:val="20"/>
                <w:szCs w:val="20"/>
              </w:rPr>
              <w:t>-</w:t>
            </w:r>
            <w:r w:rsidR="00D216A6">
              <w:rPr>
                <w:rFonts w:ascii="Arial" w:hAnsi="Arial" w:cs="Arial"/>
                <w:sz w:val="20"/>
                <w:szCs w:val="20"/>
              </w:rPr>
              <w:t>29</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074DB780" w:rsidR="00872908" w:rsidRPr="00047508" w:rsidRDefault="00872908" w:rsidP="0026493F">
            <w:pPr>
              <w:ind w:right="-150"/>
              <w:rPr>
                <w:rFonts w:ascii="Arial" w:hAnsi="Arial" w:cs="Arial"/>
                <w:sz w:val="20"/>
                <w:szCs w:val="20"/>
              </w:rPr>
            </w:pPr>
            <w:r w:rsidRPr="00047508">
              <w:rPr>
                <w:rFonts w:ascii="Arial" w:hAnsi="Arial" w:cs="Arial"/>
                <w:sz w:val="20"/>
                <w:szCs w:val="20"/>
              </w:rPr>
              <w:t xml:space="preserve">Publicatie op website en in </w:t>
            </w:r>
            <w:r w:rsidR="0026493F">
              <w:rPr>
                <w:rFonts w:ascii="Arial" w:hAnsi="Arial" w:cs="Arial"/>
                <w:sz w:val="20"/>
                <w:szCs w:val="20"/>
              </w:rPr>
              <w:t xml:space="preserve">norm en </w:t>
            </w:r>
            <w:r w:rsidR="00AB6337">
              <w:rPr>
                <w:rFonts w:ascii="Arial" w:hAnsi="Arial" w:cs="Arial"/>
                <w:sz w:val="20"/>
                <w:szCs w:val="20"/>
              </w:rPr>
              <w:t>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51BADF53" w14:textId="29F840F3" w:rsidR="00872908" w:rsidRPr="00047508" w:rsidRDefault="00D216A6" w:rsidP="00872908">
            <w:pPr>
              <w:rPr>
                <w:rFonts w:ascii="Arial" w:hAnsi="Arial" w:cs="Arial"/>
                <w:sz w:val="20"/>
                <w:szCs w:val="20"/>
              </w:rPr>
            </w:pPr>
            <w:r>
              <w:rPr>
                <w:rFonts w:ascii="Arial" w:hAnsi="Arial" w:cs="Arial"/>
                <w:sz w:val="20"/>
                <w:szCs w:val="20"/>
              </w:rPr>
              <w:t>Per direct</w:t>
            </w:r>
            <w:r w:rsidR="0072172B">
              <w:rPr>
                <w:rFonts w:ascii="Arial" w:hAnsi="Arial" w:cs="Arial"/>
                <w:sz w:val="20"/>
                <w:szCs w:val="20"/>
              </w:rPr>
              <w:t xml:space="preserve">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sidRPr="007F4010">
        <w:rPr>
          <w:color w:val="009691"/>
        </w:rPr>
        <w:t>Achtergrond;</w:t>
      </w:r>
    </w:p>
    <w:p w14:paraId="760BCDB5" w14:textId="13CEB54A" w:rsidR="0077175F" w:rsidRDefault="00FE212E" w:rsidP="001B4382">
      <w:pPr>
        <w:spacing w:after="0"/>
      </w:pPr>
      <w:r>
        <w:t xml:space="preserve">In het Certificatieschema voor de SCL </w:t>
      </w:r>
      <w:r w:rsidR="006E2356">
        <w:t xml:space="preserve">worden in H 7.9 de eisen beschreven waaraan de auditrapportage moet voldoen. </w:t>
      </w:r>
      <w:r w:rsidR="00460560">
        <w:t xml:space="preserve">Met betrekking tot de tijdens de audit </w:t>
      </w:r>
      <w:r w:rsidR="0077175F">
        <w:t>geïnterviewde</w:t>
      </w:r>
      <w:r w:rsidR="00460560">
        <w:t xml:space="preserve"> personen wordt hierover in H</w:t>
      </w:r>
      <w:r w:rsidR="0077175F">
        <w:t xml:space="preserve"> </w:t>
      </w:r>
      <w:r w:rsidR="001B4382">
        <w:t xml:space="preserve">7.9 </w:t>
      </w:r>
      <w:r w:rsidR="0077175F">
        <w:t>het volgende vermeld;</w:t>
      </w:r>
    </w:p>
    <w:p w14:paraId="1C43FC39" w14:textId="77777777" w:rsidR="001B4382" w:rsidRPr="00AF2A05" w:rsidRDefault="001B4382" w:rsidP="001B4382">
      <w:pPr>
        <w:spacing w:after="0"/>
        <w:rPr>
          <w:i/>
          <w:iCs/>
          <w:u w:val="single"/>
        </w:rPr>
      </w:pPr>
      <w:r w:rsidRPr="00AF2A05">
        <w:rPr>
          <w:i/>
          <w:iCs/>
          <w:u w:val="single"/>
        </w:rPr>
        <w:t>7.9.1 Algemene afspraken</w:t>
      </w:r>
    </w:p>
    <w:p w14:paraId="7F667F00" w14:textId="393D6979" w:rsidR="001B4382" w:rsidRPr="00AF2A05" w:rsidRDefault="0077175F" w:rsidP="001B4382">
      <w:pPr>
        <w:spacing w:after="0"/>
        <w:rPr>
          <w:i/>
          <w:iCs/>
        </w:rPr>
      </w:pPr>
      <w:r w:rsidRPr="00AF2A05">
        <w:rPr>
          <w:i/>
          <w:iCs/>
        </w:rPr>
        <w:t>‘</w:t>
      </w:r>
      <w:r w:rsidR="001B4382" w:rsidRPr="00AF2A05">
        <w:rPr>
          <w:i/>
          <w:iCs/>
        </w:rPr>
        <w:t xml:space="preserve">De auditrapportage moet minimaal de resultaten van de eisen uit de SCL verwoorden en vermelden op welke trede op de ladder is geaudit. De namen van de geïnterviewden worden opgenomen in de </w:t>
      </w:r>
    </w:p>
    <w:p w14:paraId="7710B2BA" w14:textId="6C5EE478" w:rsidR="001B4382" w:rsidRPr="00AF2A05" w:rsidRDefault="001B4382" w:rsidP="001B4382">
      <w:pPr>
        <w:spacing w:after="0"/>
        <w:rPr>
          <w:i/>
          <w:iCs/>
        </w:rPr>
      </w:pPr>
      <w:r w:rsidRPr="00AF2A05">
        <w:rPr>
          <w:i/>
          <w:iCs/>
        </w:rPr>
        <w:t>auditrapportage, waarbij de uitspraken niet herleidbaar mogen zijn naar de personen</w:t>
      </w:r>
      <w:r w:rsidR="0077175F" w:rsidRPr="00AF2A05">
        <w:rPr>
          <w:i/>
          <w:iCs/>
        </w:rPr>
        <w:t>.’</w:t>
      </w:r>
    </w:p>
    <w:p w14:paraId="23F46D19" w14:textId="77777777" w:rsidR="001B4382" w:rsidRDefault="001B4382" w:rsidP="00BB58E0">
      <w:pPr>
        <w:spacing w:after="0"/>
      </w:pPr>
    </w:p>
    <w:p w14:paraId="6C1AA64F" w14:textId="531B03E0" w:rsidR="00F020E6" w:rsidRDefault="006766ED" w:rsidP="00BB58E0">
      <w:pPr>
        <w:spacing w:after="0"/>
      </w:pPr>
      <w:r>
        <w:t>H</w:t>
      </w:r>
      <w:r w:rsidR="00BB58E0">
        <w:t>et H</w:t>
      </w:r>
      <w:r>
        <w:t xml:space="preserve">armonisatieoverleg van de CI’en heeft </w:t>
      </w:r>
      <w:r w:rsidR="00982652">
        <w:t xml:space="preserve">aan de CvD SCL kenbaar gemaakt </w:t>
      </w:r>
      <w:r w:rsidR="00BB58E0">
        <w:t>dat de inhoudelijke rapportage vaak 1 op 1 herleidbaar is naar personen</w:t>
      </w:r>
      <w:r w:rsidR="00982652">
        <w:t>,</w:t>
      </w:r>
      <w:r w:rsidR="00BB58E0">
        <w:t xml:space="preserve"> omdat namen genoemd opgenomen moeten worden in de rapportage. Dit is geen wenselijke situatie. De CI wil graag per geval kunnen inschatten hoe zij omgaan met het vermelden van namen.</w:t>
      </w:r>
    </w:p>
    <w:p w14:paraId="1FA692FD" w14:textId="77777777" w:rsidR="00BB58E0" w:rsidRDefault="00BB58E0" w:rsidP="00091459">
      <w:pPr>
        <w:spacing w:after="0"/>
      </w:pPr>
    </w:p>
    <w:p w14:paraId="6F4A4993" w14:textId="550E9981" w:rsidR="00B11739" w:rsidRPr="007F4010" w:rsidRDefault="00B11739" w:rsidP="00B11739">
      <w:pPr>
        <w:spacing w:after="0"/>
        <w:rPr>
          <w:color w:val="009691"/>
        </w:rPr>
      </w:pPr>
      <w:r>
        <w:rPr>
          <w:color w:val="009691"/>
        </w:rPr>
        <w:t>Overweging</w:t>
      </w:r>
      <w:r w:rsidRPr="007F4010">
        <w:rPr>
          <w:color w:val="009691"/>
        </w:rPr>
        <w:t>;</w:t>
      </w:r>
    </w:p>
    <w:p w14:paraId="0F2BC2E9" w14:textId="52F94651" w:rsidR="000D0410" w:rsidRDefault="00531408" w:rsidP="00091459">
      <w:pPr>
        <w:spacing w:after="0"/>
      </w:pPr>
      <w:r>
        <w:t xml:space="preserve">De leden van de CvD </w:t>
      </w:r>
      <w:r w:rsidR="00C61C0E">
        <w:t xml:space="preserve">zijn van mening dat elke </w:t>
      </w:r>
      <w:r w:rsidR="00325DDF">
        <w:t>geïnterviewde</w:t>
      </w:r>
      <w:r w:rsidR="00C61C0E">
        <w:t xml:space="preserve"> zich tijdens het interview </w:t>
      </w:r>
      <w:r w:rsidR="00325DDF">
        <w:t>vrij moet voelen om in alle openheid zijn/haar mening te geven. D</w:t>
      </w:r>
      <w:r w:rsidR="00960B52">
        <w:t>at is van wezenlijk belang voor de kwaliteit van de audit.</w:t>
      </w:r>
    </w:p>
    <w:p w14:paraId="00A3E33E" w14:textId="77777777" w:rsidR="000D0410" w:rsidRDefault="000D0410" w:rsidP="00091459">
      <w:pPr>
        <w:spacing w:after="0"/>
      </w:pPr>
    </w:p>
    <w:p w14:paraId="36622EBC" w14:textId="749AAA82" w:rsidR="00A46721" w:rsidRPr="00A46721" w:rsidRDefault="006916DD" w:rsidP="00A46721">
      <w:pPr>
        <w:spacing w:after="0"/>
        <w:rPr>
          <w:color w:val="009691"/>
        </w:rPr>
      </w:pPr>
      <w:r>
        <w:rPr>
          <w:color w:val="009691"/>
        </w:rPr>
        <w:t>B</w:t>
      </w:r>
      <w:r w:rsidR="00A46721" w:rsidRPr="00A46721">
        <w:rPr>
          <w:color w:val="009691"/>
        </w:rPr>
        <w:t>esluit:</w:t>
      </w:r>
    </w:p>
    <w:p w14:paraId="723CA953" w14:textId="2D82A93A" w:rsidR="00091459" w:rsidRDefault="00A46721" w:rsidP="00B42C33">
      <w:pPr>
        <w:spacing w:after="0"/>
      </w:pPr>
      <w:r>
        <w:t xml:space="preserve">De CvD SCL heeft </w:t>
      </w:r>
      <w:r w:rsidR="006916DD">
        <w:t xml:space="preserve">het </w:t>
      </w:r>
      <w:r w:rsidR="00B061A9">
        <w:t xml:space="preserve">volgende </w:t>
      </w:r>
      <w:r w:rsidR="00091459">
        <w:t>besluit genomen:</w:t>
      </w:r>
    </w:p>
    <w:p w14:paraId="492BB845" w14:textId="5A234345" w:rsidR="00091459" w:rsidRDefault="00091459" w:rsidP="00091459">
      <w:pPr>
        <w:spacing w:after="0"/>
      </w:pPr>
    </w:p>
    <w:p w14:paraId="1A2532B2" w14:textId="77777777" w:rsidR="00982652" w:rsidRDefault="00982652" w:rsidP="00982652">
      <w:pPr>
        <w:spacing w:after="0"/>
      </w:pPr>
      <w:r>
        <w:t xml:space="preserve">De CvD gaat akkoord met het voorstel vanuit het HO om de namen van geïnterviewden niet in de auditrapportage op te nemen. </w:t>
      </w:r>
    </w:p>
    <w:p w14:paraId="2016A7F7" w14:textId="77777777" w:rsidR="00982652" w:rsidRDefault="00982652" w:rsidP="00982652">
      <w:pPr>
        <w:spacing w:after="0"/>
      </w:pPr>
      <w:r>
        <w:t xml:space="preserve">De onderbouwing vanuit het HO dat het onwenselijk is dat de inhoudelijke rapportage vaak 1 op 1 herleidbaar is naar personen wordt onderschreven. </w:t>
      </w:r>
    </w:p>
    <w:p w14:paraId="33ED697B" w14:textId="77777777" w:rsidR="00AB739C" w:rsidRDefault="00AB739C" w:rsidP="00205DDA">
      <w:pPr>
        <w:spacing w:after="0"/>
        <w:ind w:left="1134" w:hanging="1134"/>
      </w:pPr>
    </w:p>
    <w:p w14:paraId="7A2C411A" w14:textId="77777777" w:rsidR="00AB739C" w:rsidRDefault="00AB739C" w:rsidP="00205DDA">
      <w:pPr>
        <w:spacing w:after="0"/>
        <w:ind w:left="1134" w:hanging="1134"/>
      </w:pPr>
    </w:p>
    <w:p w14:paraId="0A284A4D" w14:textId="77777777" w:rsidR="00AB739C" w:rsidRDefault="00AB739C" w:rsidP="00205DDA">
      <w:pPr>
        <w:spacing w:after="0"/>
        <w:ind w:left="1134" w:hanging="1134"/>
      </w:pPr>
    </w:p>
    <w:p w14:paraId="77E58B7A" w14:textId="77777777" w:rsidR="00AB739C" w:rsidRDefault="00AB739C" w:rsidP="00205DDA">
      <w:pPr>
        <w:spacing w:after="0"/>
        <w:ind w:left="1134" w:hanging="1134"/>
      </w:pPr>
    </w:p>
    <w:p w14:paraId="66CE3677" w14:textId="77777777" w:rsidR="00AB739C" w:rsidRDefault="00AB739C" w:rsidP="00205DDA">
      <w:pPr>
        <w:spacing w:after="0"/>
        <w:ind w:left="1134" w:hanging="1134"/>
      </w:pPr>
    </w:p>
    <w:p w14:paraId="5B22A9E2" w14:textId="77777777" w:rsidR="00B061A9" w:rsidRDefault="00B061A9" w:rsidP="00091459">
      <w:pPr>
        <w:spacing w:after="0"/>
      </w:pPr>
    </w:p>
    <w:sectPr w:rsidR="00B061A9" w:rsidSect="00047508">
      <w:headerReference w:type="default" r:id="rId10"/>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E8494" w14:textId="77777777" w:rsidR="00293599" w:rsidRDefault="00293599" w:rsidP="00CD0A9F">
      <w:pPr>
        <w:spacing w:after="0" w:line="240" w:lineRule="auto"/>
      </w:pPr>
      <w:r>
        <w:separator/>
      </w:r>
    </w:p>
  </w:endnote>
  <w:endnote w:type="continuationSeparator" w:id="0">
    <w:p w14:paraId="7FDF4DB6" w14:textId="77777777" w:rsidR="00293599" w:rsidRDefault="00293599"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1F6BE" w14:textId="77777777" w:rsidR="00293599" w:rsidRDefault="00293599" w:rsidP="00CD0A9F">
      <w:pPr>
        <w:spacing w:after="0" w:line="240" w:lineRule="auto"/>
      </w:pPr>
      <w:r>
        <w:separator/>
      </w:r>
    </w:p>
  </w:footnote>
  <w:footnote w:type="continuationSeparator" w:id="0">
    <w:p w14:paraId="5A3684DB" w14:textId="77777777" w:rsidR="00293599" w:rsidRDefault="00293599"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73F89849" w:rsidR="008D3B63" w:rsidRDefault="006A07EA" w:rsidP="00872908">
    <w:pPr>
      <w:pStyle w:val="Koptekst"/>
      <w:jc w:val="right"/>
    </w:pPr>
    <w:r w:rsidRPr="00453DA1">
      <w:rPr>
        <w:b/>
        <w:bCs/>
        <w:noProof/>
      </w:rPr>
      <w:drawing>
        <wp:anchor distT="0" distB="0" distL="114300" distR="114300" simplePos="0" relativeHeight="251659264" behindDoc="1" locked="0" layoutInCell="1" allowOverlap="1" wp14:anchorId="6EEE0A71" wp14:editId="53106769">
          <wp:simplePos x="0" y="0"/>
          <wp:positionH relativeFrom="margin">
            <wp:align>right</wp:align>
          </wp:positionH>
          <wp:positionV relativeFrom="paragraph">
            <wp:posOffset>-178435</wp:posOffset>
          </wp:positionV>
          <wp:extent cx="2971800" cy="298450"/>
          <wp:effectExtent l="0" t="0" r="0" b="6350"/>
          <wp:wrapNone/>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09689580"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anchor>
      </w:drawing>
    </w:r>
  </w:p>
  <w:p w14:paraId="286C2498" w14:textId="1C2C8BB6"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6509"/>
    <w:rsid w:val="000671A9"/>
    <w:rsid w:val="000714FD"/>
    <w:rsid w:val="0008716C"/>
    <w:rsid w:val="00091459"/>
    <w:rsid w:val="000A2487"/>
    <w:rsid w:val="000B7A8E"/>
    <w:rsid w:val="000C4886"/>
    <w:rsid w:val="000D0410"/>
    <w:rsid w:val="000E2459"/>
    <w:rsid w:val="000F4268"/>
    <w:rsid w:val="00105F3A"/>
    <w:rsid w:val="00132DAD"/>
    <w:rsid w:val="00134BB1"/>
    <w:rsid w:val="00146DA0"/>
    <w:rsid w:val="00153B20"/>
    <w:rsid w:val="00153D65"/>
    <w:rsid w:val="00163232"/>
    <w:rsid w:val="001668FA"/>
    <w:rsid w:val="001839C1"/>
    <w:rsid w:val="00193A5A"/>
    <w:rsid w:val="00196429"/>
    <w:rsid w:val="00197194"/>
    <w:rsid w:val="001B4382"/>
    <w:rsid w:val="001C1707"/>
    <w:rsid w:val="001C42FF"/>
    <w:rsid w:val="00203334"/>
    <w:rsid w:val="002037F6"/>
    <w:rsid w:val="00205DDA"/>
    <w:rsid w:val="00210AFE"/>
    <w:rsid w:val="00230FC5"/>
    <w:rsid w:val="00251628"/>
    <w:rsid w:val="00256583"/>
    <w:rsid w:val="002635C3"/>
    <w:rsid w:val="0026493F"/>
    <w:rsid w:val="00266EC5"/>
    <w:rsid w:val="00276494"/>
    <w:rsid w:val="00281793"/>
    <w:rsid w:val="00293599"/>
    <w:rsid w:val="00294573"/>
    <w:rsid w:val="00294D88"/>
    <w:rsid w:val="002A58E4"/>
    <w:rsid w:val="002B0093"/>
    <w:rsid w:val="002B074C"/>
    <w:rsid w:val="002C539C"/>
    <w:rsid w:val="002E1D8E"/>
    <w:rsid w:val="002E3E33"/>
    <w:rsid w:val="002F744C"/>
    <w:rsid w:val="003058C1"/>
    <w:rsid w:val="00313C04"/>
    <w:rsid w:val="00320AC6"/>
    <w:rsid w:val="00325DDF"/>
    <w:rsid w:val="003273BB"/>
    <w:rsid w:val="00330173"/>
    <w:rsid w:val="00342B84"/>
    <w:rsid w:val="00347EC1"/>
    <w:rsid w:val="00355A3A"/>
    <w:rsid w:val="00371D6D"/>
    <w:rsid w:val="003829AC"/>
    <w:rsid w:val="00387865"/>
    <w:rsid w:val="003A4134"/>
    <w:rsid w:val="003B21CB"/>
    <w:rsid w:val="003D18B6"/>
    <w:rsid w:val="003D6B29"/>
    <w:rsid w:val="003E2C3A"/>
    <w:rsid w:val="003E77D5"/>
    <w:rsid w:val="004153F6"/>
    <w:rsid w:val="0043186F"/>
    <w:rsid w:val="00450501"/>
    <w:rsid w:val="00450ED9"/>
    <w:rsid w:val="0045253C"/>
    <w:rsid w:val="00455AE9"/>
    <w:rsid w:val="00460560"/>
    <w:rsid w:val="004647FE"/>
    <w:rsid w:val="00464E07"/>
    <w:rsid w:val="00491530"/>
    <w:rsid w:val="004A23C6"/>
    <w:rsid w:val="004D0CE9"/>
    <w:rsid w:val="004D4A20"/>
    <w:rsid w:val="004E7747"/>
    <w:rsid w:val="004F7A47"/>
    <w:rsid w:val="0051345D"/>
    <w:rsid w:val="0051510C"/>
    <w:rsid w:val="00531408"/>
    <w:rsid w:val="00540069"/>
    <w:rsid w:val="00555285"/>
    <w:rsid w:val="00557E76"/>
    <w:rsid w:val="00563EF2"/>
    <w:rsid w:val="0056763E"/>
    <w:rsid w:val="00567F60"/>
    <w:rsid w:val="00576DD5"/>
    <w:rsid w:val="00585C68"/>
    <w:rsid w:val="00594BB2"/>
    <w:rsid w:val="005C0F0B"/>
    <w:rsid w:val="005D2336"/>
    <w:rsid w:val="005D537D"/>
    <w:rsid w:val="005E44E0"/>
    <w:rsid w:val="005F13D3"/>
    <w:rsid w:val="005F151B"/>
    <w:rsid w:val="005F187A"/>
    <w:rsid w:val="005F572F"/>
    <w:rsid w:val="00600549"/>
    <w:rsid w:val="00602187"/>
    <w:rsid w:val="00606899"/>
    <w:rsid w:val="006112E6"/>
    <w:rsid w:val="00611F3E"/>
    <w:rsid w:val="00617ABE"/>
    <w:rsid w:val="00617DC9"/>
    <w:rsid w:val="0062733D"/>
    <w:rsid w:val="00634873"/>
    <w:rsid w:val="00635016"/>
    <w:rsid w:val="00652FAA"/>
    <w:rsid w:val="0066011A"/>
    <w:rsid w:val="00667F97"/>
    <w:rsid w:val="006766ED"/>
    <w:rsid w:val="006766F6"/>
    <w:rsid w:val="00682791"/>
    <w:rsid w:val="0069011E"/>
    <w:rsid w:val="006916DD"/>
    <w:rsid w:val="00693692"/>
    <w:rsid w:val="006A07EA"/>
    <w:rsid w:val="006A1EF8"/>
    <w:rsid w:val="006B5094"/>
    <w:rsid w:val="006C5EEB"/>
    <w:rsid w:val="006E2356"/>
    <w:rsid w:val="006E3FF0"/>
    <w:rsid w:val="006E7B1B"/>
    <w:rsid w:val="006F4C4A"/>
    <w:rsid w:val="00711101"/>
    <w:rsid w:val="0072172B"/>
    <w:rsid w:val="00723977"/>
    <w:rsid w:val="00741BFC"/>
    <w:rsid w:val="00757752"/>
    <w:rsid w:val="0077175F"/>
    <w:rsid w:val="00783320"/>
    <w:rsid w:val="007A3966"/>
    <w:rsid w:val="007B6F2E"/>
    <w:rsid w:val="007D49A1"/>
    <w:rsid w:val="007E22DA"/>
    <w:rsid w:val="007F23D8"/>
    <w:rsid w:val="007F4010"/>
    <w:rsid w:val="007F647D"/>
    <w:rsid w:val="00845366"/>
    <w:rsid w:val="008541D3"/>
    <w:rsid w:val="0085729C"/>
    <w:rsid w:val="008632B2"/>
    <w:rsid w:val="00870EFC"/>
    <w:rsid w:val="00872908"/>
    <w:rsid w:val="00884008"/>
    <w:rsid w:val="00893EF4"/>
    <w:rsid w:val="008A5EC3"/>
    <w:rsid w:val="008D1DDB"/>
    <w:rsid w:val="008D3B63"/>
    <w:rsid w:val="008E125A"/>
    <w:rsid w:val="008E4A2C"/>
    <w:rsid w:val="008E5725"/>
    <w:rsid w:val="009118F0"/>
    <w:rsid w:val="00913165"/>
    <w:rsid w:val="0091626E"/>
    <w:rsid w:val="00917A91"/>
    <w:rsid w:val="009245B1"/>
    <w:rsid w:val="009250DD"/>
    <w:rsid w:val="00932779"/>
    <w:rsid w:val="009458BF"/>
    <w:rsid w:val="00960B52"/>
    <w:rsid w:val="00961B26"/>
    <w:rsid w:val="009776B9"/>
    <w:rsid w:val="00982652"/>
    <w:rsid w:val="00983CC3"/>
    <w:rsid w:val="009B020E"/>
    <w:rsid w:val="009C270F"/>
    <w:rsid w:val="009F0A8B"/>
    <w:rsid w:val="00A06064"/>
    <w:rsid w:val="00A07702"/>
    <w:rsid w:val="00A15DE6"/>
    <w:rsid w:val="00A20E49"/>
    <w:rsid w:val="00A212F8"/>
    <w:rsid w:val="00A347A6"/>
    <w:rsid w:val="00A43260"/>
    <w:rsid w:val="00A46721"/>
    <w:rsid w:val="00A57E4B"/>
    <w:rsid w:val="00A811C2"/>
    <w:rsid w:val="00A858AC"/>
    <w:rsid w:val="00A94629"/>
    <w:rsid w:val="00A94F0C"/>
    <w:rsid w:val="00AA7AD9"/>
    <w:rsid w:val="00AB167B"/>
    <w:rsid w:val="00AB1B2F"/>
    <w:rsid w:val="00AB6337"/>
    <w:rsid w:val="00AB739C"/>
    <w:rsid w:val="00AC0CB9"/>
    <w:rsid w:val="00AD6680"/>
    <w:rsid w:val="00AF2A05"/>
    <w:rsid w:val="00AF480D"/>
    <w:rsid w:val="00B0435D"/>
    <w:rsid w:val="00B061A9"/>
    <w:rsid w:val="00B11739"/>
    <w:rsid w:val="00B14D40"/>
    <w:rsid w:val="00B22857"/>
    <w:rsid w:val="00B25961"/>
    <w:rsid w:val="00B25DB8"/>
    <w:rsid w:val="00B30031"/>
    <w:rsid w:val="00B3518B"/>
    <w:rsid w:val="00B42C33"/>
    <w:rsid w:val="00B55E69"/>
    <w:rsid w:val="00BB58E0"/>
    <w:rsid w:val="00BC3040"/>
    <w:rsid w:val="00BC3AE7"/>
    <w:rsid w:val="00BE0710"/>
    <w:rsid w:val="00BE2CEB"/>
    <w:rsid w:val="00BE3F53"/>
    <w:rsid w:val="00BF14B8"/>
    <w:rsid w:val="00C01635"/>
    <w:rsid w:val="00C0639E"/>
    <w:rsid w:val="00C06AEB"/>
    <w:rsid w:val="00C12347"/>
    <w:rsid w:val="00C2018C"/>
    <w:rsid w:val="00C32B81"/>
    <w:rsid w:val="00C356BE"/>
    <w:rsid w:val="00C41C7D"/>
    <w:rsid w:val="00C535BF"/>
    <w:rsid w:val="00C570AF"/>
    <w:rsid w:val="00C61C0E"/>
    <w:rsid w:val="00C62B99"/>
    <w:rsid w:val="00C82F7D"/>
    <w:rsid w:val="00C91F12"/>
    <w:rsid w:val="00C96F81"/>
    <w:rsid w:val="00CC2C8C"/>
    <w:rsid w:val="00CC49B0"/>
    <w:rsid w:val="00CD0A9F"/>
    <w:rsid w:val="00CD2A67"/>
    <w:rsid w:val="00CD7066"/>
    <w:rsid w:val="00CE09F4"/>
    <w:rsid w:val="00CE7A1C"/>
    <w:rsid w:val="00CF49B0"/>
    <w:rsid w:val="00D216A6"/>
    <w:rsid w:val="00D31882"/>
    <w:rsid w:val="00D35519"/>
    <w:rsid w:val="00D44F58"/>
    <w:rsid w:val="00D466DE"/>
    <w:rsid w:val="00D46FF8"/>
    <w:rsid w:val="00D5378C"/>
    <w:rsid w:val="00D53928"/>
    <w:rsid w:val="00D77AF9"/>
    <w:rsid w:val="00D817F4"/>
    <w:rsid w:val="00D94BE8"/>
    <w:rsid w:val="00DE3A9A"/>
    <w:rsid w:val="00DE7A81"/>
    <w:rsid w:val="00DF41B2"/>
    <w:rsid w:val="00E00DBB"/>
    <w:rsid w:val="00E203A8"/>
    <w:rsid w:val="00E27A2F"/>
    <w:rsid w:val="00E315A1"/>
    <w:rsid w:val="00E34DEA"/>
    <w:rsid w:val="00E43700"/>
    <w:rsid w:val="00E65B45"/>
    <w:rsid w:val="00E66F92"/>
    <w:rsid w:val="00E73D0B"/>
    <w:rsid w:val="00E944FE"/>
    <w:rsid w:val="00EB33E4"/>
    <w:rsid w:val="00EC1701"/>
    <w:rsid w:val="00EC6E1E"/>
    <w:rsid w:val="00ED3FCA"/>
    <w:rsid w:val="00ED689B"/>
    <w:rsid w:val="00EE21BA"/>
    <w:rsid w:val="00EF2143"/>
    <w:rsid w:val="00EF4097"/>
    <w:rsid w:val="00F020E6"/>
    <w:rsid w:val="00F250BF"/>
    <w:rsid w:val="00F30F9B"/>
    <w:rsid w:val="00F32982"/>
    <w:rsid w:val="00F44243"/>
    <w:rsid w:val="00F4450F"/>
    <w:rsid w:val="00F455A3"/>
    <w:rsid w:val="00F4796B"/>
    <w:rsid w:val="00F52DE9"/>
    <w:rsid w:val="00F53CC6"/>
    <w:rsid w:val="00F64814"/>
    <w:rsid w:val="00F721ED"/>
    <w:rsid w:val="00F86299"/>
    <w:rsid w:val="00F876EC"/>
    <w:rsid w:val="00FA3118"/>
    <w:rsid w:val="00FA6B79"/>
    <w:rsid w:val="00FB4035"/>
    <w:rsid w:val="00FD448E"/>
    <w:rsid w:val="00FE212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ECB93D-A870-4D7B-8F85-E7440C25A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E0A75F-1063-4F9A-BB90-50D65C7698C0}">
  <ds:schemaRefs>
    <ds:schemaRef ds:uri="http://purl.org/dc/dcmitype/"/>
    <ds:schemaRef ds:uri="http://schemas.microsoft.com/office/2006/documentManagement/types"/>
    <ds:schemaRef ds:uri="8c759bf6-42e2-4be2-8076-ca901ae762be"/>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0aa5b8dd-10c7-4ace-84a3-8edf5dd86461"/>
  </ds:schemaRefs>
</ds:datastoreItem>
</file>

<file path=customXml/itemProps3.xml><?xml version="1.0" encoding="utf-8"?>
<ds:datastoreItem xmlns:ds="http://schemas.openxmlformats.org/officeDocument/2006/customXml" ds:itemID="{79A89089-64AD-4834-9CA6-A80789D2C2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256</Words>
  <Characters>1410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Jeroen Haesenbos</cp:lastModifiedBy>
  <cp:revision>22</cp:revision>
  <cp:lastPrinted>2023-07-03T11:15:00Z</cp:lastPrinted>
  <dcterms:created xsi:type="dcterms:W3CDTF">2024-11-29T11:45:00Z</dcterms:created>
  <dcterms:modified xsi:type="dcterms:W3CDTF">2025-03-07T07:09:00Z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