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036368" w14:paraId="04447CF3" w14:textId="77777777" w:rsidTr="269D5259">
        <w:tc>
          <w:tcPr>
            <w:tcW w:w="9234" w:type="dxa"/>
            <w:gridSpan w:val="4"/>
            <w:tcMar>
              <w:top w:w="113" w:type="dxa"/>
            </w:tcMar>
          </w:tcPr>
          <w:p w14:paraId="1BD6388F" w14:textId="77777777" w:rsidR="00FE7569" w:rsidRPr="00036368" w:rsidRDefault="00FE7569" w:rsidP="00AE765C">
            <w:pPr>
              <w:rPr>
                <w:rFonts w:ascii="Arial" w:hAnsi="Arial" w:cs="Arial"/>
                <w:b/>
                <w:bCs/>
                <w:sz w:val="20"/>
                <w:szCs w:val="20"/>
              </w:rPr>
            </w:pPr>
            <w:r w:rsidRPr="00036368">
              <w:rPr>
                <w:rFonts w:ascii="Arial" w:hAnsi="Arial" w:cs="Arial"/>
                <w:b/>
                <w:bCs/>
                <w:sz w:val="20"/>
                <w:szCs w:val="20"/>
              </w:rPr>
              <w:t>Safety Culture Ladder NEN</w:t>
            </w:r>
          </w:p>
        </w:tc>
      </w:tr>
      <w:tr w:rsidR="00FE7569" w:rsidRPr="00036368" w14:paraId="19C8B385" w14:textId="77777777" w:rsidTr="269D5259">
        <w:tc>
          <w:tcPr>
            <w:tcW w:w="2228" w:type="dxa"/>
            <w:tcMar>
              <w:top w:w="113" w:type="dxa"/>
            </w:tcMar>
          </w:tcPr>
          <w:p w14:paraId="527A3631" w14:textId="54BE748B" w:rsidR="00FE7569" w:rsidRPr="00036368" w:rsidRDefault="00FE7569" w:rsidP="00AE765C">
            <w:pPr>
              <w:rPr>
                <w:rFonts w:ascii="Arial" w:hAnsi="Arial" w:cs="Arial"/>
                <w:sz w:val="20"/>
                <w:szCs w:val="20"/>
              </w:rPr>
            </w:pPr>
            <w:r w:rsidRPr="00036368">
              <w:rPr>
                <w:rFonts w:ascii="Arial" w:hAnsi="Arial" w:cs="Arial"/>
                <w:sz w:val="20"/>
                <w:szCs w:val="20"/>
              </w:rPr>
              <w:t>B</w:t>
            </w:r>
            <w:r w:rsidR="00A84F62" w:rsidRPr="00036368">
              <w:rPr>
                <w:rFonts w:ascii="Arial" w:hAnsi="Arial" w:cs="Arial"/>
                <w:sz w:val="20"/>
                <w:szCs w:val="20"/>
              </w:rPr>
              <w:t>eschluss</w:t>
            </w:r>
            <w:r w:rsidRPr="00036368">
              <w:rPr>
                <w:rFonts w:ascii="Arial" w:hAnsi="Arial" w:cs="Arial"/>
                <w:sz w:val="20"/>
                <w:szCs w:val="20"/>
              </w:rPr>
              <w:t>nummer:</w:t>
            </w:r>
          </w:p>
        </w:tc>
        <w:tc>
          <w:tcPr>
            <w:tcW w:w="2544" w:type="dxa"/>
            <w:tcMar>
              <w:top w:w="113" w:type="dxa"/>
            </w:tcMar>
          </w:tcPr>
          <w:p w14:paraId="357DCD51" w14:textId="4C22192E" w:rsidR="00FE7569" w:rsidRPr="00036368" w:rsidRDefault="00FE7569" w:rsidP="00AE765C">
            <w:pPr>
              <w:rPr>
                <w:rFonts w:ascii="Arial" w:hAnsi="Arial" w:cs="Arial"/>
                <w:sz w:val="20"/>
                <w:szCs w:val="20"/>
              </w:rPr>
            </w:pPr>
            <w:r w:rsidRPr="00036368">
              <w:rPr>
                <w:rFonts w:ascii="Arial" w:hAnsi="Arial" w:cs="Arial"/>
                <w:sz w:val="20"/>
                <w:szCs w:val="20"/>
              </w:rPr>
              <w:t>2024-05</w:t>
            </w:r>
          </w:p>
        </w:tc>
        <w:tc>
          <w:tcPr>
            <w:tcW w:w="2430" w:type="dxa"/>
            <w:tcMar>
              <w:top w:w="113" w:type="dxa"/>
            </w:tcMar>
          </w:tcPr>
          <w:p w14:paraId="363A7C43" w14:textId="77777777" w:rsidR="00FE7569" w:rsidRPr="00036368" w:rsidRDefault="00FE7569" w:rsidP="00AE765C">
            <w:pPr>
              <w:rPr>
                <w:rFonts w:ascii="Arial" w:hAnsi="Arial" w:cs="Arial"/>
                <w:sz w:val="20"/>
                <w:szCs w:val="20"/>
              </w:rPr>
            </w:pPr>
          </w:p>
        </w:tc>
        <w:tc>
          <w:tcPr>
            <w:tcW w:w="2032" w:type="dxa"/>
            <w:tcMar>
              <w:top w:w="113" w:type="dxa"/>
            </w:tcMar>
          </w:tcPr>
          <w:p w14:paraId="7CBDD607" w14:textId="77777777" w:rsidR="00FE7569" w:rsidRPr="00036368" w:rsidRDefault="00FE7569" w:rsidP="00AE765C">
            <w:pPr>
              <w:rPr>
                <w:rFonts w:ascii="Arial" w:hAnsi="Arial" w:cs="Arial"/>
                <w:sz w:val="20"/>
                <w:szCs w:val="20"/>
              </w:rPr>
            </w:pPr>
          </w:p>
        </w:tc>
      </w:tr>
      <w:tr w:rsidR="00FE7569" w:rsidRPr="00E5186A" w14:paraId="34C8B45D" w14:textId="77777777" w:rsidTr="269D5259">
        <w:tc>
          <w:tcPr>
            <w:tcW w:w="2228" w:type="dxa"/>
            <w:tcMar>
              <w:top w:w="113" w:type="dxa"/>
            </w:tcMar>
          </w:tcPr>
          <w:p w14:paraId="439BBB3A" w14:textId="77777777" w:rsidR="00FE7569" w:rsidRPr="00036368" w:rsidRDefault="00FE7569" w:rsidP="00AE765C">
            <w:pPr>
              <w:rPr>
                <w:rFonts w:ascii="Arial" w:hAnsi="Arial" w:cs="Arial"/>
                <w:sz w:val="20"/>
                <w:szCs w:val="20"/>
              </w:rPr>
            </w:pPr>
            <w:r w:rsidRPr="00036368">
              <w:rPr>
                <w:rFonts w:ascii="Arial" w:hAnsi="Arial" w:cs="Arial"/>
                <w:sz w:val="20"/>
                <w:szCs w:val="20"/>
              </w:rPr>
              <w:t>Betreft:</w:t>
            </w:r>
          </w:p>
        </w:tc>
        <w:tc>
          <w:tcPr>
            <w:tcW w:w="7006" w:type="dxa"/>
            <w:gridSpan w:val="3"/>
            <w:tcMar>
              <w:top w:w="113" w:type="dxa"/>
            </w:tcMar>
          </w:tcPr>
          <w:p w14:paraId="486A659B" w14:textId="75163573" w:rsidR="00FE7569" w:rsidRPr="00036368" w:rsidRDefault="37B8A7F9" w:rsidP="00EE5D96">
            <w:pPr>
              <w:rPr>
                <w:rFonts w:ascii="Arial" w:hAnsi="Arial" w:cs="Arial"/>
                <w:sz w:val="20"/>
                <w:szCs w:val="20"/>
                <w:lang w:val="de-DE"/>
              </w:rPr>
            </w:pPr>
            <w:r w:rsidRPr="269D5259">
              <w:rPr>
                <w:rFonts w:ascii="Arial" w:eastAsia="Arial" w:hAnsi="Arial" w:cs="Arial"/>
                <w:color w:val="000000" w:themeColor="text1"/>
                <w:sz w:val="20"/>
                <w:szCs w:val="20"/>
                <w:lang w:val="de-DE"/>
              </w:rPr>
              <w:t>Festlegung der Audittage für Zeitarbeits- und Leiharbeitnehmer</w:t>
            </w:r>
          </w:p>
        </w:tc>
      </w:tr>
      <w:tr w:rsidR="00FE7569" w:rsidRPr="00036368" w14:paraId="785BD623" w14:textId="77777777" w:rsidTr="269D5259">
        <w:tc>
          <w:tcPr>
            <w:tcW w:w="2228" w:type="dxa"/>
            <w:tcBorders>
              <w:bottom w:val="single" w:sz="4" w:space="0" w:color="auto"/>
            </w:tcBorders>
            <w:tcMar>
              <w:top w:w="113" w:type="dxa"/>
            </w:tcMar>
          </w:tcPr>
          <w:p w14:paraId="12BC3173" w14:textId="77777777" w:rsidR="00FE7569" w:rsidRPr="00036368" w:rsidRDefault="00FE7569" w:rsidP="00AE765C">
            <w:pPr>
              <w:rPr>
                <w:rFonts w:ascii="Arial" w:hAnsi="Arial" w:cs="Arial"/>
                <w:sz w:val="20"/>
                <w:szCs w:val="20"/>
              </w:rPr>
            </w:pPr>
            <w:r w:rsidRPr="00036368">
              <w:rPr>
                <w:rFonts w:ascii="Arial" w:hAnsi="Arial" w:cs="Arial"/>
                <w:sz w:val="20"/>
                <w:szCs w:val="20"/>
              </w:rPr>
              <w:t>Datum:</w:t>
            </w:r>
          </w:p>
        </w:tc>
        <w:tc>
          <w:tcPr>
            <w:tcW w:w="2544" w:type="dxa"/>
            <w:tcBorders>
              <w:bottom w:val="single" w:sz="4" w:space="0" w:color="auto"/>
            </w:tcBorders>
            <w:tcMar>
              <w:top w:w="113" w:type="dxa"/>
            </w:tcMar>
          </w:tcPr>
          <w:p w14:paraId="58C1BE33" w14:textId="7F56581E" w:rsidR="00FE7569" w:rsidRPr="00036368" w:rsidRDefault="00FE7569" w:rsidP="00AE765C">
            <w:pPr>
              <w:rPr>
                <w:rFonts w:ascii="Arial" w:hAnsi="Arial" w:cs="Arial"/>
                <w:sz w:val="20"/>
                <w:szCs w:val="20"/>
              </w:rPr>
            </w:pPr>
            <w:r w:rsidRPr="00036368">
              <w:rPr>
                <w:rFonts w:ascii="Arial" w:hAnsi="Arial" w:cs="Arial"/>
                <w:sz w:val="20"/>
                <w:szCs w:val="20"/>
              </w:rPr>
              <w:t>202</w:t>
            </w:r>
            <w:r w:rsidR="00AA4404" w:rsidRPr="00036368">
              <w:rPr>
                <w:rFonts w:ascii="Arial" w:hAnsi="Arial" w:cs="Arial"/>
                <w:sz w:val="20"/>
                <w:szCs w:val="20"/>
              </w:rPr>
              <w:t>5</w:t>
            </w:r>
            <w:r w:rsidRPr="00036368">
              <w:rPr>
                <w:rFonts w:ascii="Arial" w:hAnsi="Arial" w:cs="Arial"/>
                <w:sz w:val="20"/>
                <w:szCs w:val="20"/>
              </w:rPr>
              <w:t>-</w:t>
            </w:r>
            <w:r w:rsidR="006375EB" w:rsidRPr="00036368">
              <w:rPr>
                <w:rFonts w:ascii="Arial" w:hAnsi="Arial" w:cs="Arial"/>
                <w:sz w:val="20"/>
                <w:szCs w:val="20"/>
              </w:rPr>
              <w:t>0</w:t>
            </w:r>
            <w:r w:rsidR="00AA4404" w:rsidRPr="00036368">
              <w:rPr>
                <w:rFonts w:ascii="Arial" w:hAnsi="Arial" w:cs="Arial"/>
                <w:sz w:val="20"/>
                <w:szCs w:val="20"/>
              </w:rPr>
              <w:t>2</w:t>
            </w:r>
            <w:r w:rsidRPr="00036368">
              <w:rPr>
                <w:rFonts w:ascii="Arial" w:hAnsi="Arial" w:cs="Arial"/>
                <w:sz w:val="20"/>
                <w:szCs w:val="20"/>
              </w:rPr>
              <w:t>-</w:t>
            </w:r>
            <w:r w:rsidR="00AA4404" w:rsidRPr="00036368">
              <w:rPr>
                <w:rFonts w:ascii="Arial" w:hAnsi="Arial" w:cs="Arial"/>
                <w:sz w:val="20"/>
                <w:szCs w:val="20"/>
              </w:rPr>
              <w:t>17</w:t>
            </w:r>
          </w:p>
        </w:tc>
        <w:tc>
          <w:tcPr>
            <w:tcW w:w="2430" w:type="dxa"/>
            <w:tcBorders>
              <w:bottom w:val="single" w:sz="4" w:space="0" w:color="auto"/>
            </w:tcBorders>
            <w:tcMar>
              <w:top w:w="113" w:type="dxa"/>
            </w:tcMar>
          </w:tcPr>
          <w:p w14:paraId="1BAA97ED" w14:textId="77777777" w:rsidR="00FE7569" w:rsidRPr="00036368" w:rsidRDefault="00FE7569" w:rsidP="00AE765C">
            <w:pPr>
              <w:rPr>
                <w:rFonts w:ascii="Arial" w:hAnsi="Arial" w:cs="Arial"/>
                <w:sz w:val="20"/>
                <w:szCs w:val="20"/>
              </w:rPr>
            </w:pPr>
          </w:p>
        </w:tc>
        <w:tc>
          <w:tcPr>
            <w:tcW w:w="2032" w:type="dxa"/>
            <w:tcBorders>
              <w:bottom w:val="single" w:sz="4" w:space="0" w:color="auto"/>
            </w:tcBorders>
            <w:tcMar>
              <w:top w:w="113" w:type="dxa"/>
            </w:tcMar>
          </w:tcPr>
          <w:p w14:paraId="7A931A10" w14:textId="77777777" w:rsidR="00FE7569" w:rsidRPr="00036368" w:rsidRDefault="00FE7569" w:rsidP="00AE765C">
            <w:pPr>
              <w:rPr>
                <w:rFonts w:ascii="Arial" w:hAnsi="Arial" w:cs="Arial"/>
                <w:sz w:val="20"/>
                <w:szCs w:val="20"/>
              </w:rPr>
            </w:pPr>
          </w:p>
        </w:tc>
      </w:tr>
      <w:tr w:rsidR="00BE7E61" w:rsidRPr="00036368" w14:paraId="0095C0E2" w14:textId="77777777" w:rsidTr="269D5259">
        <w:trPr>
          <w:trHeight w:val="596"/>
        </w:trPr>
        <w:tc>
          <w:tcPr>
            <w:tcW w:w="2228" w:type="dxa"/>
            <w:tcBorders>
              <w:top w:val="single" w:sz="4" w:space="0" w:color="auto"/>
              <w:bottom w:val="single" w:sz="4" w:space="0" w:color="auto"/>
            </w:tcBorders>
            <w:tcMar>
              <w:top w:w="113" w:type="dxa"/>
            </w:tcMar>
          </w:tcPr>
          <w:p w14:paraId="76330681" w14:textId="7520AD01" w:rsidR="00BE7E61" w:rsidRPr="00036368" w:rsidRDefault="00BE7E61" w:rsidP="00BE7E61">
            <w:pPr>
              <w:rPr>
                <w:rFonts w:ascii="Arial" w:hAnsi="Arial" w:cs="Arial"/>
                <w:sz w:val="20"/>
                <w:szCs w:val="20"/>
              </w:rPr>
            </w:pPr>
            <w:r w:rsidRPr="00036368">
              <w:rPr>
                <w:rFonts w:ascii="Arial" w:hAnsi="Arial" w:cs="Arial"/>
                <w:sz w:val="20"/>
                <w:szCs w:val="20"/>
              </w:rPr>
              <w:t>Umsetzung:</w:t>
            </w:r>
          </w:p>
        </w:tc>
        <w:tc>
          <w:tcPr>
            <w:tcW w:w="2544" w:type="dxa"/>
            <w:tcBorders>
              <w:top w:val="single" w:sz="4" w:space="0" w:color="auto"/>
              <w:bottom w:val="single" w:sz="4" w:space="0" w:color="auto"/>
              <w:right w:val="single" w:sz="4" w:space="0" w:color="auto"/>
            </w:tcBorders>
            <w:tcMar>
              <w:top w:w="113" w:type="dxa"/>
            </w:tcMar>
          </w:tcPr>
          <w:p w14:paraId="1E8D8491" w14:textId="08AC94EE" w:rsidR="00BE7E61" w:rsidRPr="00036368" w:rsidRDefault="00BE7E61" w:rsidP="00BE7E61">
            <w:pPr>
              <w:rPr>
                <w:rFonts w:ascii="Arial" w:hAnsi="Arial" w:cs="Arial"/>
                <w:sz w:val="20"/>
                <w:szCs w:val="20"/>
                <w:lang w:val="de-DE"/>
              </w:rPr>
            </w:pPr>
            <w:r w:rsidRPr="00036368">
              <w:rPr>
                <w:rFonts w:ascii="Arial" w:hAnsi="Arial" w:cs="Arial"/>
                <w:sz w:val="20"/>
                <w:szCs w:val="20"/>
                <w:lang w:val="de-DE"/>
              </w:rPr>
              <w:t>Veröffentlichung auf der Website und im Normen- und Zertifizierungsprogramm SCL 2.0</w:t>
            </w:r>
          </w:p>
        </w:tc>
        <w:tc>
          <w:tcPr>
            <w:tcW w:w="2430" w:type="dxa"/>
            <w:tcBorders>
              <w:top w:val="single" w:sz="4" w:space="0" w:color="auto"/>
              <w:left w:val="single" w:sz="4" w:space="0" w:color="auto"/>
              <w:bottom w:val="single" w:sz="4" w:space="0" w:color="auto"/>
            </w:tcBorders>
            <w:tcMar>
              <w:top w:w="113" w:type="dxa"/>
            </w:tcMar>
            <w:vAlign w:val="center"/>
          </w:tcPr>
          <w:p w14:paraId="313FED0C" w14:textId="4D06AFC2" w:rsidR="00BE7E61" w:rsidRPr="00036368" w:rsidRDefault="00BE7E61" w:rsidP="00BE7E61">
            <w:pPr>
              <w:rPr>
                <w:rFonts w:ascii="Arial" w:hAnsi="Arial" w:cs="Arial"/>
                <w:sz w:val="20"/>
                <w:szCs w:val="20"/>
                <w:lang w:val="de-DE"/>
              </w:rPr>
            </w:pPr>
          </w:p>
          <w:p w14:paraId="36237256" w14:textId="5AB82837" w:rsidR="00BE7E61" w:rsidRPr="00036368" w:rsidRDefault="00BE7E61" w:rsidP="00BE7E61">
            <w:pPr>
              <w:rPr>
                <w:rFonts w:ascii="Arial" w:hAnsi="Arial" w:cs="Arial"/>
                <w:sz w:val="20"/>
                <w:szCs w:val="20"/>
              </w:rPr>
            </w:pPr>
            <w:r w:rsidRPr="00036368">
              <w:rPr>
                <w:rFonts w:ascii="Arial" w:hAnsi="Arial" w:cs="Arial"/>
                <w:sz w:val="20"/>
                <w:szCs w:val="20"/>
              </w:rPr>
              <w:t>Datum des Inkrafttretens</w:t>
            </w:r>
            <w:r w:rsidR="0019340A" w:rsidRPr="00036368">
              <w:rPr>
                <w:rFonts w:ascii="Arial" w:hAnsi="Arial" w:cs="Arial"/>
                <w:sz w:val="20"/>
                <w:szCs w:val="20"/>
              </w:rPr>
              <w:t>:</w:t>
            </w:r>
          </w:p>
        </w:tc>
        <w:tc>
          <w:tcPr>
            <w:tcW w:w="2032" w:type="dxa"/>
            <w:tcBorders>
              <w:top w:val="single" w:sz="4" w:space="0" w:color="auto"/>
              <w:bottom w:val="single" w:sz="4" w:space="0" w:color="auto"/>
            </w:tcBorders>
            <w:tcMar>
              <w:top w:w="113" w:type="dxa"/>
            </w:tcMar>
            <w:vAlign w:val="center"/>
          </w:tcPr>
          <w:p w14:paraId="08E627E9" w14:textId="44CF648E" w:rsidR="00BE7E61" w:rsidRPr="00036368" w:rsidRDefault="00311891" w:rsidP="00BE7E61">
            <w:pPr>
              <w:rPr>
                <w:rFonts w:ascii="Arial" w:hAnsi="Arial" w:cs="Arial"/>
                <w:sz w:val="20"/>
                <w:szCs w:val="20"/>
              </w:rPr>
            </w:pPr>
            <w:r w:rsidRPr="00036368">
              <w:rPr>
                <w:rFonts w:ascii="Arial" w:hAnsi="Arial" w:cs="Arial"/>
                <w:sz w:val="20"/>
                <w:szCs w:val="20"/>
              </w:rPr>
              <w:t xml:space="preserve">Ab </w:t>
            </w:r>
            <w:r w:rsidR="00AA4404" w:rsidRPr="00036368">
              <w:rPr>
                <w:rFonts w:ascii="Arial" w:hAnsi="Arial" w:cs="Arial"/>
                <w:sz w:val="20"/>
                <w:szCs w:val="20"/>
              </w:rPr>
              <w:t>01 Juli 2025</w:t>
            </w:r>
          </w:p>
        </w:tc>
      </w:tr>
    </w:tbl>
    <w:p w14:paraId="7EE34978" w14:textId="77777777" w:rsidR="00611D15" w:rsidRDefault="00611D15" w:rsidP="00611D15"/>
    <w:p w14:paraId="084D0785" w14:textId="4ECDFEDB" w:rsidR="000C371A" w:rsidRPr="00F00084" w:rsidRDefault="003C0869" w:rsidP="000C371A">
      <w:pPr>
        <w:spacing w:after="0"/>
        <w:rPr>
          <w:rFonts w:ascii="Calibri" w:hAnsi="Calibri" w:cs="Calibri"/>
          <w:color w:val="009691"/>
        </w:rPr>
      </w:pPr>
      <w:r w:rsidRPr="269D5259">
        <w:rPr>
          <w:rFonts w:ascii="Calibri" w:hAnsi="Calibri" w:cs="Calibri"/>
          <w:color w:val="009691"/>
        </w:rPr>
        <w:t>Hintergrund</w:t>
      </w:r>
      <w:r w:rsidR="000C371A" w:rsidRPr="269D5259">
        <w:rPr>
          <w:rFonts w:ascii="Calibri" w:hAnsi="Calibri" w:cs="Calibri"/>
          <w:color w:val="009691"/>
        </w:rPr>
        <w:t>;</w:t>
      </w:r>
    </w:p>
    <w:p w14:paraId="18FF47DF" w14:textId="798C9D6C" w:rsidR="00A24C09" w:rsidRPr="00F00084" w:rsidRDefault="6F7BDAB7" w:rsidP="00A86FC2">
      <w:pPr>
        <w:spacing w:after="0"/>
        <w:rPr>
          <w:rFonts w:ascii="Calibri" w:hAnsi="Calibri" w:cs="Calibri"/>
          <w:lang w:val="de-DE"/>
        </w:rPr>
      </w:pPr>
      <w:r w:rsidRPr="269D5259">
        <w:rPr>
          <w:rFonts w:ascii="Calibri" w:eastAsia="Calibri" w:hAnsi="Calibri" w:cs="Calibri"/>
          <w:color w:val="000000" w:themeColor="text1"/>
          <w:lang w:val="de-DE"/>
        </w:rPr>
        <w:t>Zur Festlegung der Auditdauer enthält das Zertifizierungsprogramm in Kapitel 7.4 („Zertifizierungstabelle für Audittage“) Tabellen mit Vorgaben zur Anzahl der Audittage.</w:t>
      </w:r>
      <w:r w:rsidRPr="269D5259">
        <w:rPr>
          <w:rFonts w:ascii="Calibri" w:hAnsi="Calibri" w:cs="Calibri"/>
          <w:lang w:val="de-DE"/>
        </w:rPr>
        <w:t xml:space="preserve"> </w:t>
      </w:r>
    </w:p>
    <w:p w14:paraId="026604FE" w14:textId="701DDF16" w:rsidR="00896D09" w:rsidRPr="00F00084" w:rsidRDefault="6F7BDAB7" w:rsidP="002A0427">
      <w:pPr>
        <w:spacing w:after="0"/>
        <w:rPr>
          <w:rFonts w:ascii="Calibri" w:hAnsi="Calibri" w:cs="Calibri"/>
          <w:lang w:val="de-DE"/>
        </w:rPr>
      </w:pPr>
      <w:r w:rsidRPr="269D5259">
        <w:rPr>
          <w:rFonts w:ascii="Calibri" w:eastAsia="Calibri" w:hAnsi="Calibri" w:cs="Calibri"/>
          <w:color w:val="000000" w:themeColor="text1"/>
          <w:lang w:val="de-DE"/>
        </w:rPr>
        <w:t>Das Harmonisierungsgremium legte einen Fall zur Anwendung dieser Tabelle auf Zeitarbeitsunternehmen vor.</w:t>
      </w:r>
      <w:r w:rsidRPr="269D5259">
        <w:rPr>
          <w:rFonts w:ascii="Calibri" w:hAnsi="Calibri" w:cs="Calibri"/>
          <w:lang w:val="de-DE"/>
        </w:rPr>
        <w:t xml:space="preserve"> </w:t>
      </w:r>
    </w:p>
    <w:p w14:paraId="35518A26" w14:textId="377C9FF4" w:rsidR="00896D09" w:rsidRPr="00F00084" w:rsidRDefault="002A0427" w:rsidP="002A0427">
      <w:pPr>
        <w:spacing w:after="0"/>
        <w:rPr>
          <w:rFonts w:ascii="Calibri" w:hAnsi="Calibri" w:cs="Calibri"/>
          <w:i/>
          <w:iCs/>
          <w:lang w:val="de-DE"/>
        </w:rPr>
      </w:pPr>
      <w:r w:rsidRPr="00F00084">
        <w:rPr>
          <w:rFonts w:ascii="Calibri" w:hAnsi="Calibri" w:cs="Calibri"/>
          <w:i/>
          <w:iCs/>
          <w:lang w:val="de-DE"/>
        </w:rPr>
        <w:t>Die Fragestellung lautete:</w:t>
      </w:r>
      <w:r w:rsidRPr="00F00084">
        <w:rPr>
          <w:rFonts w:ascii="Calibri" w:hAnsi="Calibri" w:cs="Calibri"/>
          <w:i/>
          <w:iCs/>
          <w:lang w:val="de-DE"/>
        </w:rPr>
        <w:br/>
        <w:t>Müssen die Zeitarbeitskräfte</w:t>
      </w:r>
      <w:r w:rsidR="00F42D76" w:rsidRPr="00F00084">
        <w:rPr>
          <w:rFonts w:ascii="Calibri" w:hAnsi="Calibri" w:cs="Calibri"/>
          <w:i/>
          <w:iCs/>
          <w:lang w:val="de-DE"/>
        </w:rPr>
        <w:t>/ Leiharbeitnehmer</w:t>
      </w:r>
      <w:r w:rsidRPr="00F00084">
        <w:rPr>
          <w:rFonts w:ascii="Calibri" w:hAnsi="Calibri" w:cs="Calibri"/>
          <w:i/>
          <w:iCs/>
          <w:lang w:val="de-DE"/>
        </w:rPr>
        <w:t xml:space="preserve"> bei der Berechnung der Anzahl der Auditttage berücksichtigt werden, oder wird nur das Büropersonal des Zeitarbeitsunternehmens einbezogen?</w:t>
      </w:r>
    </w:p>
    <w:p w14:paraId="35C4D7A0" w14:textId="77777777" w:rsidR="00896D09" w:rsidRPr="00F00084" w:rsidRDefault="00896D09" w:rsidP="000C371A">
      <w:pPr>
        <w:spacing w:after="0"/>
        <w:rPr>
          <w:rFonts w:ascii="Calibri" w:hAnsi="Calibri" w:cs="Calibri"/>
          <w:lang w:val="de-DE"/>
        </w:rPr>
      </w:pPr>
    </w:p>
    <w:p w14:paraId="55412922" w14:textId="0301F523" w:rsidR="00850F10" w:rsidRPr="00F00084" w:rsidRDefault="00551A1C" w:rsidP="00551A1C">
      <w:pPr>
        <w:spacing w:after="0"/>
        <w:rPr>
          <w:rFonts w:ascii="Calibri" w:hAnsi="Calibri" w:cs="Calibri"/>
          <w:lang w:val="de-DE"/>
        </w:rPr>
      </w:pPr>
      <w:r w:rsidRPr="00F00084">
        <w:rPr>
          <w:rFonts w:ascii="Calibri" w:hAnsi="Calibri" w:cs="Calibri"/>
          <w:lang w:val="de-DE"/>
        </w:rPr>
        <w:t xml:space="preserve">Diese Frage wurde am 4. Dezember in der Sitzung des </w:t>
      </w:r>
      <w:r w:rsidR="00C03FB8" w:rsidRPr="00F00084">
        <w:rPr>
          <w:rFonts w:ascii="Calibri" w:hAnsi="Calibri" w:cs="Calibri"/>
          <w:lang w:val="de-DE"/>
        </w:rPr>
        <w:t>Expertenausschusses</w:t>
      </w:r>
      <w:r w:rsidRPr="00F00084">
        <w:rPr>
          <w:rFonts w:ascii="Calibri" w:hAnsi="Calibri" w:cs="Calibri"/>
          <w:lang w:val="de-DE"/>
        </w:rPr>
        <w:t xml:space="preserve"> SCL behandelt</w:t>
      </w:r>
      <w:r w:rsidR="00A751FB" w:rsidRPr="00F00084">
        <w:rPr>
          <w:rFonts w:ascii="Calibri" w:hAnsi="Calibri" w:cs="Calibri"/>
          <w:lang w:val="de-DE"/>
        </w:rPr>
        <w:t>.</w:t>
      </w:r>
    </w:p>
    <w:p w14:paraId="48579EAE" w14:textId="77777777" w:rsidR="000C371A" w:rsidRPr="00F00084" w:rsidRDefault="000C371A" w:rsidP="000C371A">
      <w:pPr>
        <w:spacing w:after="0"/>
        <w:rPr>
          <w:rFonts w:ascii="Calibri" w:hAnsi="Calibri" w:cs="Calibri"/>
          <w:lang w:val="de-DE"/>
        </w:rPr>
      </w:pPr>
    </w:p>
    <w:p w14:paraId="646F463C" w14:textId="6D53AA61" w:rsidR="000C371A" w:rsidRPr="00F00084" w:rsidRDefault="001462E3" w:rsidP="000C371A">
      <w:pPr>
        <w:spacing w:after="0"/>
        <w:rPr>
          <w:rFonts w:ascii="Calibri" w:hAnsi="Calibri" w:cs="Calibri"/>
          <w:color w:val="009691"/>
          <w:lang w:val="de-DE"/>
        </w:rPr>
      </w:pPr>
      <w:r w:rsidRPr="269D5259">
        <w:rPr>
          <w:rFonts w:ascii="Calibri" w:hAnsi="Calibri" w:cs="Calibri"/>
          <w:color w:val="009691"/>
          <w:lang w:val="de-DE"/>
        </w:rPr>
        <w:t>Überlegung</w:t>
      </w:r>
      <w:r w:rsidR="000C371A" w:rsidRPr="269D5259">
        <w:rPr>
          <w:rFonts w:ascii="Calibri" w:hAnsi="Calibri" w:cs="Calibri"/>
          <w:color w:val="009691"/>
          <w:lang w:val="de-DE"/>
        </w:rPr>
        <w:t>;</w:t>
      </w:r>
    </w:p>
    <w:p w14:paraId="593B40AC" w14:textId="2A53F83A" w:rsidR="00563101" w:rsidRPr="00F00084" w:rsidRDefault="44566D18" w:rsidP="00F74188">
      <w:pPr>
        <w:spacing w:after="0"/>
        <w:rPr>
          <w:rFonts w:ascii="Calibri" w:hAnsi="Calibri" w:cs="Calibri"/>
          <w:lang w:val="de-DE"/>
        </w:rPr>
      </w:pPr>
      <w:r w:rsidRPr="269D5259">
        <w:rPr>
          <w:rFonts w:ascii="Calibri" w:eastAsia="Calibri" w:hAnsi="Calibri" w:cs="Calibri"/>
          <w:color w:val="000000" w:themeColor="text1"/>
          <w:lang w:val="de-DE"/>
        </w:rPr>
        <w:t>Der Expertenausschuss stellt fest, dass das aktuelle Zertifizierungsschema keine ausreichenden Anhaltspunkte zur Anwendung der Audittageregelungen auf Zeitarbeitsunternehmen bietet.</w:t>
      </w:r>
      <w:r w:rsidRPr="269D5259">
        <w:rPr>
          <w:rFonts w:ascii="Calibri" w:hAnsi="Calibri" w:cs="Calibri"/>
          <w:lang w:val="de-DE"/>
        </w:rPr>
        <w:t xml:space="preserve"> </w:t>
      </w:r>
      <w:r w:rsidR="00A6750F" w:rsidRPr="269D5259">
        <w:rPr>
          <w:rFonts w:ascii="Calibri" w:hAnsi="Calibri" w:cs="Calibri"/>
          <w:lang w:val="de-DE"/>
        </w:rPr>
        <w:t xml:space="preserve"> </w:t>
      </w:r>
      <w:r w:rsidR="0BBAACB4" w:rsidRPr="269D5259">
        <w:rPr>
          <w:rFonts w:ascii="Calibri" w:eastAsia="Calibri" w:hAnsi="Calibri" w:cs="Calibri"/>
          <w:color w:val="000000" w:themeColor="text1"/>
          <w:lang w:val="de-DE"/>
        </w:rPr>
        <w:t>Zugleich soll kein Unterschied zwischen Zeitarbeitsunternehmen und Dienstleistungsunternehmen hinsichtlich der Vorgaben zur Anzahl der Audittage gemacht werden.</w:t>
      </w:r>
      <w:r w:rsidR="0BBAACB4" w:rsidRPr="269D5259">
        <w:rPr>
          <w:rFonts w:ascii="Calibri" w:hAnsi="Calibri" w:cs="Calibri"/>
          <w:lang w:val="de-DE"/>
        </w:rPr>
        <w:t xml:space="preserve"> </w:t>
      </w:r>
      <w:r w:rsidR="00F74188" w:rsidRPr="269D5259">
        <w:rPr>
          <w:rFonts w:ascii="Calibri" w:hAnsi="Calibri" w:cs="Calibri"/>
          <w:lang w:val="de-DE"/>
        </w:rPr>
        <w:t>In der Anlage ist definiert, was unter einem Zeitarbeitsunternehmen und eine</w:t>
      </w:r>
      <w:r w:rsidR="00FF025A" w:rsidRPr="269D5259">
        <w:rPr>
          <w:rFonts w:ascii="Calibri" w:hAnsi="Calibri" w:cs="Calibri"/>
          <w:lang w:val="de-DE"/>
        </w:rPr>
        <w:t>r Personalvermittlungsfirma</w:t>
      </w:r>
      <w:r w:rsidR="750D8AD8" w:rsidRPr="269D5259">
        <w:rPr>
          <w:rFonts w:ascii="Calibri" w:hAnsi="Calibri" w:cs="Calibri"/>
          <w:lang w:val="de-DE"/>
        </w:rPr>
        <w:t xml:space="preserve"> </w:t>
      </w:r>
      <w:r w:rsidR="00F74188" w:rsidRPr="269D5259">
        <w:rPr>
          <w:rFonts w:ascii="Calibri" w:hAnsi="Calibri" w:cs="Calibri"/>
          <w:lang w:val="de-DE"/>
        </w:rPr>
        <w:t xml:space="preserve">zu verstehen ist und welche Unterschiede zwischen diesen beiden bestehen. Der wesentliche Unterschied liegt in der Art des Vertrags, den Zeitarbeitskräfte bzw. </w:t>
      </w:r>
      <w:r w:rsidR="00F42D76" w:rsidRPr="269D5259">
        <w:rPr>
          <w:rFonts w:ascii="Calibri" w:hAnsi="Calibri" w:cs="Calibri"/>
          <w:lang w:val="de-DE"/>
        </w:rPr>
        <w:t xml:space="preserve">Leiharbeitnehmer </w:t>
      </w:r>
      <w:r w:rsidR="00F74188" w:rsidRPr="269D5259">
        <w:rPr>
          <w:rFonts w:ascii="Calibri" w:hAnsi="Calibri" w:cs="Calibri"/>
          <w:lang w:val="de-DE"/>
        </w:rPr>
        <w:t>erhalten</w:t>
      </w:r>
      <w:r w:rsidR="00E30FFD" w:rsidRPr="269D5259">
        <w:rPr>
          <w:rFonts w:ascii="Calibri" w:hAnsi="Calibri" w:cs="Calibri"/>
          <w:lang w:val="de-DE"/>
        </w:rPr>
        <w:t>.</w:t>
      </w:r>
    </w:p>
    <w:p w14:paraId="1C517B4A" w14:textId="77777777" w:rsidR="000C371A" w:rsidRPr="00F00084" w:rsidRDefault="000C371A" w:rsidP="000C371A">
      <w:pPr>
        <w:spacing w:after="0"/>
        <w:rPr>
          <w:rFonts w:ascii="Calibri" w:hAnsi="Calibri" w:cs="Calibri"/>
          <w:lang w:val="de-DE"/>
        </w:rPr>
      </w:pPr>
    </w:p>
    <w:p w14:paraId="7CF392E8" w14:textId="48814404" w:rsidR="000C371A" w:rsidRPr="00F00084" w:rsidRDefault="007A1B97" w:rsidP="000C371A">
      <w:pPr>
        <w:spacing w:after="0"/>
        <w:rPr>
          <w:rFonts w:ascii="Calibri" w:hAnsi="Calibri" w:cs="Calibri"/>
          <w:color w:val="009691"/>
          <w:lang w:val="de-DE"/>
        </w:rPr>
      </w:pPr>
      <w:r w:rsidRPr="00F00084">
        <w:rPr>
          <w:rFonts w:ascii="Calibri" w:hAnsi="Calibri" w:cs="Calibri"/>
          <w:color w:val="009691"/>
          <w:lang w:val="de-DE"/>
        </w:rPr>
        <w:t>Beschluss</w:t>
      </w:r>
      <w:r w:rsidR="000C371A" w:rsidRPr="00F00084">
        <w:rPr>
          <w:rFonts w:ascii="Calibri" w:hAnsi="Calibri" w:cs="Calibri"/>
          <w:color w:val="009691"/>
          <w:lang w:val="de-DE"/>
        </w:rPr>
        <w:t>:</w:t>
      </w:r>
    </w:p>
    <w:p w14:paraId="3AB4B988" w14:textId="7446A357" w:rsidR="007A1B97" w:rsidRPr="00F00084" w:rsidRDefault="007A1B97" w:rsidP="007A1B97">
      <w:pPr>
        <w:spacing w:after="0"/>
        <w:rPr>
          <w:rFonts w:ascii="Calibri" w:hAnsi="Calibri" w:cs="Calibri"/>
          <w:lang w:val="de-DE"/>
        </w:rPr>
      </w:pPr>
      <w:r w:rsidRPr="00F00084">
        <w:rPr>
          <w:rFonts w:ascii="Calibri" w:hAnsi="Calibri" w:cs="Calibri"/>
          <w:lang w:val="de-DE"/>
        </w:rPr>
        <w:t xml:space="preserve">Der </w:t>
      </w:r>
      <w:r w:rsidR="00C03FB8" w:rsidRPr="00F00084">
        <w:rPr>
          <w:rFonts w:ascii="Calibri" w:hAnsi="Calibri" w:cs="Calibri"/>
          <w:lang w:val="de-DE"/>
        </w:rPr>
        <w:t>Expertenausschuss</w:t>
      </w:r>
      <w:r w:rsidRPr="00F00084">
        <w:rPr>
          <w:rFonts w:ascii="Calibri" w:hAnsi="Calibri" w:cs="Calibri"/>
          <w:lang w:val="de-DE"/>
        </w:rPr>
        <w:t xml:space="preserve"> SCL hat folgenden Beschluss gefasst:</w:t>
      </w:r>
    </w:p>
    <w:p w14:paraId="0E67FE61" w14:textId="77777777" w:rsidR="007A1B97" w:rsidRPr="00F00084" w:rsidRDefault="007A1B97" w:rsidP="007A1B97">
      <w:pPr>
        <w:spacing w:after="0"/>
        <w:rPr>
          <w:rFonts w:ascii="Calibri" w:hAnsi="Calibri" w:cs="Calibri"/>
          <w:lang w:val="de-DE"/>
        </w:rPr>
      </w:pPr>
    </w:p>
    <w:p w14:paraId="423E75B7" w14:textId="236542A1" w:rsidR="007A1B97" w:rsidRPr="00F00084" w:rsidRDefault="7374CEF9" w:rsidP="007A1B97">
      <w:pPr>
        <w:spacing w:after="0"/>
        <w:rPr>
          <w:rFonts w:ascii="Calibri" w:hAnsi="Calibri" w:cs="Calibri"/>
          <w:lang w:val="de-DE"/>
        </w:rPr>
      </w:pPr>
      <w:r w:rsidRPr="269D5259">
        <w:rPr>
          <w:rFonts w:ascii="Calibri" w:eastAsia="Calibri" w:hAnsi="Calibri" w:cs="Calibri"/>
          <w:color w:val="000000" w:themeColor="text1"/>
          <w:lang w:val="de-DE"/>
        </w:rPr>
        <w:t>Die Anzahl der Audittage für Zeitarbeits- und Personalvermittlungsunternehmen wird nach folgenden Grundsätzen festgelegt:</w:t>
      </w:r>
      <w:r w:rsidRPr="269D5259">
        <w:rPr>
          <w:rFonts w:ascii="Calibri" w:hAnsi="Calibri" w:cs="Calibri"/>
          <w:lang w:val="de-DE"/>
        </w:rPr>
        <w:t xml:space="preserve"> </w:t>
      </w:r>
    </w:p>
    <w:p w14:paraId="065CDF2A" w14:textId="61933747" w:rsidR="00C72726" w:rsidRPr="00F00084" w:rsidRDefault="007A1B97" w:rsidP="00693C92">
      <w:pPr>
        <w:pStyle w:val="Lijstalinea"/>
        <w:numPr>
          <w:ilvl w:val="0"/>
          <w:numId w:val="3"/>
        </w:numPr>
        <w:ind w:left="426" w:hanging="426"/>
        <w:rPr>
          <w:rFonts w:ascii="Calibri" w:hAnsi="Calibri" w:cs="Calibri"/>
          <w:u w:val="single"/>
        </w:rPr>
      </w:pPr>
      <w:r w:rsidRPr="269D5259">
        <w:rPr>
          <w:rFonts w:ascii="Calibri" w:hAnsi="Calibri" w:cs="Calibri"/>
          <w:u w:val="single"/>
        </w:rPr>
        <w:t xml:space="preserve">Bei </w:t>
      </w:r>
      <w:r w:rsidR="00C4176B" w:rsidRPr="269D5259">
        <w:rPr>
          <w:rFonts w:ascii="Calibri" w:hAnsi="Calibri" w:cs="Calibri"/>
          <w:u w:val="single"/>
        </w:rPr>
        <w:t xml:space="preserve">einer </w:t>
      </w:r>
      <w:r w:rsidR="00693C92" w:rsidRPr="269D5259">
        <w:rPr>
          <w:rFonts w:ascii="Calibri" w:hAnsi="Calibri" w:cs="Calibri"/>
          <w:u w:val="single"/>
        </w:rPr>
        <w:t>Zeitarbeitsfirma</w:t>
      </w:r>
      <w:r w:rsidRPr="269D5259">
        <w:rPr>
          <w:rFonts w:ascii="Calibri" w:hAnsi="Calibri" w:cs="Calibri"/>
          <w:u w:val="single"/>
        </w:rPr>
        <w:t>:</w:t>
      </w:r>
    </w:p>
    <w:p w14:paraId="7136C91D" w14:textId="124AF59A" w:rsidR="007A1B97" w:rsidRPr="00F00084" w:rsidRDefault="3CC51796" w:rsidP="269D5259">
      <w:pPr>
        <w:ind w:left="426"/>
        <w:rPr>
          <w:rFonts w:ascii="Calibri" w:hAnsi="Calibri" w:cs="Calibri"/>
          <w:lang w:val="de-DE"/>
        </w:rPr>
      </w:pPr>
      <w:r w:rsidRPr="269D5259">
        <w:rPr>
          <w:color w:val="000000" w:themeColor="text1"/>
          <w:lang w:val="de-DE"/>
        </w:rPr>
        <w:t>Sowohl das Büropersonal als auch die zum Zeitpunkt des Audits für die Zeitarbeitsfirma tätigen Mitarbeitenden (die sich von der Anzahl der registrierten Mitarbeitenden unterscheiden können) sind in die Berechnung der Audittage einzubeziehen.</w:t>
      </w:r>
      <w:r w:rsidRPr="269D5259">
        <w:rPr>
          <w:rFonts w:ascii="Calibri" w:hAnsi="Calibri" w:cs="Calibri"/>
          <w:lang w:val="de-DE"/>
        </w:rPr>
        <w:t xml:space="preserve"> </w:t>
      </w:r>
    </w:p>
    <w:p w14:paraId="648C57B1" w14:textId="3ADEAFBE" w:rsidR="00611D15" w:rsidRPr="00F00084" w:rsidRDefault="009C3205" w:rsidP="00EE7ABB">
      <w:pPr>
        <w:pStyle w:val="Lijstalinea"/>
        <w:numPr>
          <w:ilvl w:val="0"/>
          <w:numId w:val="3"/>
        </w:numPr>
        <w:ind w:left="426" w:hanging="426"/>
        <w:rPr>
          <w:rFonts w:ascii="Calibri" w:hAnsi="Calibri" w:cs="Calibri"/>
          <w:lang w:val="de-DE"/>
        </w:rPr>
      </w:pPr>
      <w:r w:rsidRPr="269D5259">
        <w:rPr>
          <w:rFonts w:ascii="Calibri" w:hAnsi="Calibri" w:cs="Calibri"/>
          <w:u w:val="single"/>
          <w:lang w:val="de-DE"/>
        </w:rPr>
        <w:t>Bei eine</w:t>
      </w:r>
      <w:r w:rsidR="00FF025A" w:rsidRPr="269D5259">
        <w:rPr>
          <w:rFonts w:ascii="Calibri" w:hAnsi="Calibri" w:cs="Calibri"/>
          <w:u w:val="single"/>
          <w:lang w:val="de-DE"/>
        </w:rPr>
        <w:t>r</w:t>
      </w:r>
      <w:r w:rsidR="00FD7B09" w:rsidRPr="269D5259">
        <w:rPr>
          <w:rFonts w:ascii="Calibri" w:hAnsi="Calibri" w:cs="Calibri"/>
          <w:u w:val="single"/>
          <w:lang w:val="de-DE"/>
        </w:rPr>
        <w:t xml:space="preserve"> </w:t>
      </w:r>
      <w:r w:rsidR="00EE7ABB" w:rsidRPr="269D5259">
        <w:rPr>
          <w:rFonts w:ascii="Calibri" w:hAnsi="Calibri" w:cs="Calibri"/>
          <w:u w:val="single"/>
          <w:lang w:val="de-DE"/>
        </w:rPr>
        <w:t>Personalvermittlungs</w:t>
      </w:r>
      <w:r w:rsidR="00FF025A" w:rsidRPr="269D5259">
        <w:rPr>
          <w:rFonts w:ascii="Calibri" w:hAnsi="Calibri" w:cs="Calibri"/>
          <w:u w:val="single"/>
          <w:lang w:val="de-DE"/>
        </w:rPr>
        <w:t>firma</w:t>
      </w:r>
      <w:r w:rsidR="00CD512C" w:rsidRPr="269D5259">
        <w:rPr>
          <w:rFonts w:ascii="Calibri" w:hAnsi="Calibri" w:cs="Calibri"/>
          <w:u w:val="single"/>
          <w:lang w:val="de-DE"/>
        </w:rPr>
        <w:t>:</w:t>
      </w:r>
      <w:r>
        <w:br/>
      </w:r>
      <w:r w:rsidRPr="269D5259">
        <w:rPr>
          <w:rFonts w:ascii="Calibri" w:hAnsi="Calibri" w:cs="Calibri"/>
          <w:lang w:val="de-DE"/>
        </w:rPr>
        <w:t xml:space="preserve">Sowohl das Büropersonal als auch die Anzahl der Mitarbeiter, die zum Zeitpunkt des Audits für </w:t>
      </w:r>
      <w:r w:rsidR="003E5C3E" w:rsidRPr="269D5259">
        <w:rPr>
          <w:rFonts w:ascii="Calibri" w:hAnsi="Calibri" w:cs="Calibri"/>
          <w:lang w:val="de-DE"/>
        </w:rPr>
        <w:t>das Personalvermittlungsunternehmen</w:t>
      </w:r>
      <w:r w:rsidRPr="269D5259">
        <w:rPr>
          <w:rFonts w:ascii="Calibri" w:hAnsi="Calibri" w:cs="Calibri"/>
          <w:lang w:val="de-DE"/>
        </w:rPr>
        <w:t xml:space="preserve"> tätig sind (was also eine andere Anzahl sein kann als die </w:t>
      </w:r>
      <w:r w:rsidRPr="269D5259">
        <w:rPr>
          <w:rFonts w:ascii="Calibri" w:hAnsi="Calibri" w:cs="Calibri"/>
          <w:lang w:val="de-DE"/>
        </w:rPr>
        <w:lastRenderedPageBreak/>
        <w:t>der bei der Zeitarbeitsfirma registrierten Mitarbeiter), müssen bei der Bestimmung der Anzahl der Audit-Tage berücksichtigt werden.</w:t>
      </w:r>
    </w:p>
    <w:p w14:paraId="7AA18205" w14:textId="0F25211B" w:rsidR="00D6741D" w:rsidRPr="00F00084" w:rsidRDefault="1B43B403" w:rsidP="00091201">
      <w:pPr>
        <w:spacing w:after="0"/>
        <w:rPr>
          <w:rFonts w:ascii="Calibri" w:hAnsi="Calibri" w:cs="Calibri"/>
          <w:lang w:val="de-DE"/>
        </w:rPr>
      </w:pPr>
      <w:r w:rsidRPr="269D5259">
        <w:rPr>
          <w:rFonts w:ascii="Calibri" w:eastAsia="Calibri" w:hAnsi="Calibri" w:cs="Calibri"/>
          <w:color w:val="000000" w:themeColor="text1"/>
          <w:lang w:val="de-DE"/>
        </w:rPr>
        <w:t>Folgende Bedingungen sind zu erfüllen:</w:t>
      </w:r>
      <w:r w:rsidRPr="269D5259">
        <w:rPr>
          <w:rFonts w:ascii="Calibri" w:hAnsi="Calibri" w:cs="Calibri"/>
          <w:lang w:val="de-DE"/>
        </w:rPr>
        <w:t xml:space="preserve"> </w:t>
      </w:r>
    </w:p>
    <w:p w14:paraId="1130CF8F" w14:textId="1FF453D1" w:rsidR="00A14F65" w:rsidRPr="00F00084" w:rsidRDefault="1B43B403" w:rsidP="269D5259">
      <w:pPr>
        <w:pStyle w:val="Lijstalinea"/>
        <w:numPr>
          <w:ilvl w:val="0"/>
          <w:numId w:val="4"/>
        </w:numPr>
        <w:ind w:left="425" w:hanging="425"/>
        <w:rPr>
          <w:rFonts w:ascii="Calibri" w:hAnsi="Calibri" w:cs="Calibri"/>
          <w:lang w:val="de-DE"/>
        </w:rPr>
      </w:pPr>
      <w:r w:rsidRPr="269D5259">
        <w:rPr>
          <w:color w:val="000000" w:themeColor="text1"/>
          <w:lang w:val="de-DE"/>
        </w:rPr>
        <w:t>Die Anzahl der zu auditierenden Mitarbeitenden muss ein repräsentatives Bild der Zeitarbeitsorganisation im Jahresverlauf widerspiegeln.</w:t>
      </w:r>
      <w:r w:rsidR="004C7368" w:rsidRPr="269D5259">
        <w:rPr>
          <w:rFonts w:ascii="Calibri" w:hAnsi="Calibri" w:cs="Calibri"/>
          <w:lang w:val="de-DE"/>
        </w:rPr>
        <w:t xml:space="preserve"> Die</w:t>
      </w:r>
      <w:r w:rsidR="00B74721" w:rsidRPr="269D5259">
        <w:rPr>
          <w:rFonts w:ascii="Calibri" w:hAnsi="Calibri" w:cs="Calibri"/>
          <w:lang w:val="de-DE"/>
        </w:rPr>
        <w:t xml:space="preserve"> </w:t>
      </w:r>
      <w:r w:rsidR="004C7368" w:rsidRPr="269D5259">
        <w:rPr>
          <w:rFonts w:ascii="Calibri" w:hAnsi="Calibri" w:cs="Calibri"/>
          <w:lang w:val="de-DE"/>
        </w:rPr>
        <w:t>Zertifizierungsstelle (ZS) muss dies vor der Auditierung prüfen</w:t>
      </w:r>
      <w:r w:rsidR="00A14F65" w:rsidRPr="269D5259">
        <w:rPr>
          <w:rFonts w:ascii="Calibri" w:hAnsi="Calibri" w:cs="Calibri"/>
        </w:rPr>
        <w:t>.</w:t>
      </w:r>
    </w:p>
    <w:p w14:paraId="6B28DA9A" w14:textId="133B03FA" w:rsidR="00230B10" w:rsidRPr="00F00084" w:rsidRDefault="00091201" w:rsidP="00091201">
      <w:pPr>
        <w:pStyle w:val="Lijstalinea"/>
        <w:numPr>
          <w:ilvl w:val="0"/>
          <w:numId w:val="4"/>
        </w:numPr>
        <w:ind w:left="425" w:hanging="425"/>
        <w:rPr>
          <w:rFonts w:ascii="Calibri" w:hAnsi="Calibri" w:cs="Calibri"/>
          <w:lang w:val="de-DE"/>
        </w:rPr>
      </w:pPr>
      <w:r w:rsidRPr="269D5259">
        <w:rPr>
          <w:rFonts w:ascii="Calibri" w:hAnsi="Calibri" w:cs="Calibri"/>
          <w:lang w:val="de-DE"/>
        </w:rPr>
        <w:t>Die Audits mit Zeitarbeitskräften/Leiharbeitnehmern müssen im Büro der Zeitarbeits</w:t>
      </w:r>
      <w:r w:rsidR="00834F58" w:rsidRPr="269D5259">
        <w:rPr>
          <w:rFonts w:ascii="Calibri" w:hAnsi="Calibri" w:cs="Calibri"/>
          <w:lang w:val="de-DE"/>
        </w:rPr>
        <w:t>firma</w:t>
      </w:r>
      <w:r w:rsidRPr="269D5259">
        <w:rPr>
          <w:rFonts w:ascii="Calibri" w:hAnsi="Calibri" w:cs="Calibri"/>
          <w:lang w:val="de-DE"/>
        </w:rPr>
        <w:t>/</w:t>
      </w:r>
      <w:r w:rsidR="00834F58" w:rsidRPr="269D5259">
        <w:rPr>
          <w:rFonts w:ascii="Calibri" w:hAnsi="Calibri" w:cs="Calibri"/>
          <w:lang w:val="de-DE"/>
        </w:rPr>
        <w:t xml:space="preserve"> </w:t>
      </w:r>
      <w:r w:rsidRPr="269D5259">
        <w:rPr>
          <w:rFonts w:ascii="Calibri" w:hAnsi="Calibri" w:cs="Calibri"/>
          <w:lang w:val="de-DE"/>
        </w:rPr>
        <w:t>Personalvermittlungs</w:t>
      </w:r>
      <w:r w:rsidR="00FF025A" w:rsidRPr="269D5259">
        <w:rPr>
          <w:rFonts w:ascii="Calibri" w:hAnsi="Calibri" w:cs="Calibri"/>
          <w:lang w:val="de-DE"/>
        </w:rPr>
        <w:t>firma</w:t>
      </w:r>
      <w:r w:rsidRPr="269D5259">
        <w:rPr>
          <w:rFonts w:ascii="Calibri" w:hAnsi="Calibri" w:cs="Calibri"/>
          <w:lang w:val="de-DE"/>
        </w:rPr>
        <w:t xml:space="preserve"> stattfinden (und nicht an dem Ort, an dem sie zum Zeitpunkt des Audits tätig sind)</w:t>
      </w:r>
      <w:r w:rsidR="00EC171A" w:rsidRPr="269D5259">
        <w:rPr>
          <w:rFonts w:ascii="Calibri" w:hAnsi="Calibri" w:cs="Calibri"/>
          <w:lang w:val="de-DE"/>
        </w:rPr>
        <w:t>.</w:t>
      </w:r>
    </w:p>
    <w:p w14:paraId="752A782C" w14:textId="336C6E3C" w:rsidR="002D05EC" w:rsidRPr="00F00084" w:rsidRDefault="69A818F6" w:rsidP="269D5259">
      <w:pPr>
        <w:pStyle w:val="Lijstalinea"/>
        <w:numPr>
          <w:ilvl w:val="0"/>
          <w:numId w:val="4"/>
        </w:numPr>
        <w:ind w:left="425" w:hanging="425"/>
        <w:rPr>
          <w:rFonts w:ascii="Calibri" w:hAnsi="Calibri" w:cs="Calibri"/>
          <w:lang w:val="de-DE"/>
        </w:rPr>
      </w:pPr>
      <w:r w:rsidRPr="269D5259">
        <w:rPr>
          <w:color w:val="000000" w:themeColor="text1"/>
          <w:lang w:val="de-DE"/>
        </w:rPr>
        <w:t>Zeitarbeits- und Personalvermittlungsfirmen sind für das von ihnen vermittelte oder entsandte Personal verantwortlich.</w:t>
      </w:r>
      <w:r w:rsidR="002D05EC" w:rsidRPr="269D5259">
        <w:rPr>
          <w:rFonts w:ascii="Calibri" w:hAnsi="Calibri" w:cs="Calibri"/>
          <w:lang w:val="de-DE"/>
        </w:rPr>
        <w:t xml:space="preserve"> Sie müssen die Mitarbeitenden, die sich bei ihnen registrieren oder die sie einstellen, auf dem </w:t>
      </w:r>
      <w:r w:rsidR="00EE3F93" w:rsidRPr="269D5259">
        <w:rPr>
          <w:rFonts w:ascii="Calibri" w:hAnsi="Calibri" w:cs="Calibri"/>
          <w:lang w:val="de-DE"/>
        </w:rPr>
        <w:t>(Arbeitssicherheits)</w:t>
      </w:r>
      <w:r w:rsidR="002D05EC" w:rsidRPr="269D5259">
        <w:rPr>
          <w:rFonts w:ascii="Calibri" w:hAnsi="Calibri" w:cs="Calibri"/>
          <w:lang w:val="de-DE"/>
        </w:rPr>
        <w:t>Niveau des Auftraggebers „onboarden“.</w:t>
      </w:r>
    </w:p>
    <w:p w14:paraId="56BFA887" w14:textId="6B74C09D" w:rsidR="008D4942" w:rsidRPr="00F00084" w:rsidRDefault="00EE3F93" w:rsidP="00EE3F93">
      <w:pPr>
        <w:pStyle w:val="Lijstalinea"/>
        <w:ind w:left="426"/>
        <w:rPr>
          <w:rFonts w:ascii="Calibri" w:hAnsi="Calibri" w:cs="Calibri"/>
          <w:lang w:val="de-DE"/>
        </w:rPr>
      </w:pPr>
      <w:r w:rsidRPr="00F00084">
        <w:rPr>
          <w:rFonts w:ascii="Calibri" w:hAnsi="Calibri" w:cs="Calibri"/>
          <w:lang w:val="de-DE"/>
        </w:rPr>
        <w:t>Bei einem Audit muss durch eine Reihe von Interviews geprüft werden</w:t>
      </w:r>
      <w:r w:rsidR="008D4942" w:rsidRPr="00F00084">
        <w:rPr>
          <w:rFonts w:ascii="Calibri" w:hAnsi="Calibri" w:cs="Calibri"/>
          <w:lang w:val="de-DE"/>
        </w:rPr>
        <w:t>:</w:t>
      </w:r>
    </w:p>
    <w:p w14:paraId="3E9CE249" w14:textId="59BCEF4C" w:rsidR="00EE3F93" w:rsidRPr="00F00084" w:rsidRDefault="00EE3F93" w:rsidP="00EE3F93">
      <w:pPr>
        <w:pStyle w:val="Lijstalinea"/>
        <w:numPr>
          <w:ilvl w:val="0"/>
          <w:numId w:val="7"/>
        </w:numPr>
        <w:rPr>
          <w:rFonts w:ascii="Calibri" w:hAnsi="Calibri" w:cs="Calibri"/>
          <w:lang w:val="de-DE"/>
        </w:rPr>
      </w:pPr>
      <w:r w:rsidRPr="00F00084">
        <w:rPr>
          <w:rFonts w:ascii="Calibri" w:hAnsi="Calibri" w:cs="Calibri"/>
          <w:lang w:val="de-DE"/>
        </w:rPr>
        <w:t>Ob und wie dieses „Onboarding“ durch die Zeitarbeitsfirma/Personalvermittlungsfirma durchgeführt wurde;</w:t>
      </w:r>
    </w:p>
    <w:p w14:paraId="23A1ECE7" w14:textId="73951669" w:rsidR="00EE3F93" w:rsidRPr="00F00084" w:rsidRDefault="00EE3F93" w:rsidP="00EE3F93">
      <w:pPr>
        <w:pStyle w:val="Lijstalinea"/>
        <w:numPr>
          <w:ilvl w:val="0"/>
          <w:numId w:val="7"/>
        </w:numPr>
        <w:rPr>
          <w:rFonts w:ascii="Calibri" w:hAnsi="Calibri" w:cs="Calibri"/>
          <w:lang w:val="de-DE"/>
        </w:rPr>
      </w:pPr>
      <w:r w:rsidRPr="269D5259">
        <w:rPr>
          <w:rFonts w:ascii="Calibri" w:hAnsi="Calibri" w:cs="Calibri"/>
          <w:lang w:val="de-DE"/>
        </w:rPr>
        <w:t>Ob die Mitarbeitenden die wesentlichen Inhalte des „Onboardings“ verstanden haben und angeben können, was dies für ihre Arbeit in der Praxis bedeutet. Dies gilt auch für Zeitarbeitskräfte/Leiharbeitnehmer, die in einer leitenden Position eingesetzt werden.</w:t>
      </w:r>
    </w:p>
    <w:p w14:paraId="3425FD07" w14:textId="780D17AA" w:rsidR="00EE3F93" w:rsidRPr="00F00084" w:rsidRDefault="00EE3F93" w:rsidP="00EE3F93">
      <w:pPr>
        <w:pStyle w:val="Lijstalinea"/>
        <w:numPr>
          <w:ilvl w:val="0"/>
          <w:numId w:val="7"/>
        </w:numPr>
        <w:rPr>
          <w:rFonts w:ascii="Calibri" w:hAnsi="Calibri" w:cs="Calibri"/>
          <w:lang w:val="de-DE"/>
        </w:rPr>
      </w:pPr>
      <w:r w:rsidRPr="00F00084">
        <w:rPr>
          <w:rFonts w:ascii="Calibri" w:hAnsi="Calibri" w:cs="Calibri"/>
          <w:lang w:val="de-DE"/>
        </w:rPr>
        <w:t>Wie das während des „Onboardings“ Gelernte über die Zeit aufrechterhalten wird.</w:t>
      </w:r>
    </w:p>
    <w:p w14:paraId="32C59BC8" w14:textId="77777777" w:rsidR="00DD1BCE" w:rsidRPr="00F00084" w:rsidRDefault="00DD1BCE" w:rsidP="00DD1BCE">
      <w:pPr>
        <w:rPr>
          <w:rFonts w:ascii="Calibri" w:hAnsi="Calibri" w:cs="Calibri"/>
          <w:lang w:val="de-DE"/>
        </w:rPr>
      </w:pPr>
      <w:r w:rsidRPr="269D5259">
        <w:rPr>
          <w:rFonts w:ascii="Calibri" w:hAnsi="Calibri" w:cs="Calibri"/>
          <w:lang w:val="de-DE"/>
        </w:rPr>
        <w:t>Das Datum des Inkrafttretens dieses Beschlusses ist der 1. Juli 2025.</w:t>
      </w:r>
    </w:p>
    <w:p w14:paraId="61F62397" w14:textId="7401ECDB" w:rsidR="00DD1BCE" w:rsidRPr="00F00084" w:rsidRDefault="7E271CCA" w:rsidP="00DD1BCE">
      <w:pPr>
        <w:rPr>
          <w:rFonts w:ascii="Calibri" w:hAnsi="Calibri" w:cs="Calibri"/>
          <w:lang w:val="de-DE"/>
        </w:rPr>
      </w:pPr>
      <w:r w:rsidRPr="269D5259">
        <w:rPr>
          <w:rFonts w:ascii="Calibri" w:eastAsia="Calibri" w:hAnsi="Calibri" w:cs="Calibri"/>
          <w:color w:val="000000" w:themeColor="text1"/>
          <w:lang w:val="de-DE"/>
        </w:rPr>
        <w:t>Falls eine Zertifizierungsstelle bereits einen Auditauftrag erhalten hat, der auf abweichenden Grundsätzen beruht, muss im zweiten Jahr ein sogenanntes „Reparaturaudit“ erfolgen.</w:t>
      </w:r>
      <w:r w:rsidR="00DD1BCE" w:rsidRPr="269D5259">
        <w:rPr>
          <w:rFonts w:ascii="Calibri" w:hAnsi="Calibri" w:cs="Calibri"/>
          <w:lang w:val="de-DE"/>
        </w:rPr>
        <w:t xml:space="preserve"> Die Audits im Jahr 2 müssen dann entsprechend dem Beschluss des </w:t>
      </w:r>
      <w:r w:rsidR="00915EC6" w:rsidRPr="269D5259">
        <w:rPr>
          <w:rFonts w:ascii="Calibri" w:hAnsi="Calibri" w:cs="Calibri"/>
          <w:lang w:val="de-DE"/>
        </w:rPr>
        <w:t>Expertenausschuss</w:t>
      </w:r>
      <w:r w:rsidR="00804BAA" w:rsidRPr="269D5259">
        <w:rPr>
          <w:rFonts w:ascii="Calibri" w:hAnsi="Calibri" w:cs="Calibri"/>
          <w:lang w:val="de-DE"/>
        </w:rPr>
        <w:t>es</w:t>
      </w:r>
      <w:r w:rsidR="00CF7892" w:rsidRPr="269D5259">
        <w:rPr>
          <w:rFonts w:ascii="Calibri" w:hAnsi="Calibri" w:cs="Calibri"/>
          <w:lang w:val="de-DE"/>
        </w:rPr>
        <w:t xml:space="preserve"> SCL </w:t>
      </w:r>
      <w:r w:rsidR="00DD1BCE" w:rsidRPr="269D5259">
        <w:rPr>
          <w:rFonts w:ascii="Calibri" w:hAnsi="Calibri" w:cs="Calibri"/>
          <w:lang w:val="de-DE"/>
        </w:rPr>
        <w:t>durchgeführt werden.</w:t>
      </w:r>
    </w:p>
    <w:p w14:paraId="4CB915BA" w14:textId="0D335165" w:rsidR="00E30FFD" w:rsidRPr="00EE3F93" w:rsidRDefault="00E30FFD">
      <w:pPr>
        <w:rPr>
          <w:lang w:val="de-DE"/>
        </w:rPr>
      </w:pPr>
      <w:r w:rsidRPr="00EE3F93">
        <w:rPr>
          <w:lang w:val="de-DE"/>
        </w:rPr>
        <w:br w:type="page"/>
      </w:r>
    </w:p>
    <w:p w14:paraId="4D95A66B" w14:textId="77777777" w:rsidR="00FA31C6" w:rsidRPr="00B90EE6" w:rsidRDefault="00FA31C6" w:rsidP="00EE7625">
      <w:pPr>
        <w:spacing w:after="0"/>
        <w:rPr>
          <w:b/>
          <w:bCs/>
          <w:lang w:val="de-DE"/>
        </w:rPr>
      </w:pPr>
      <w:r w:rsidRPr="00B90EE6">
        <w:rPr>
          <w:b/>
          <w:bCs/>
          <w:lang w:val="de-DE"/>
        </w:rPr>
        <w:lastRenderedPageBreak/>
        <w:t>Anhang zum Beschluss 2024-05</w:t>
      </w:r>
    </w:p>
    <w:p w14:paraId="59543E37" w14:textId="77777777" w:rsidR="00FA31C6" w:rsidRPr="00B90EE6" w:rsidRDefault="00FA31C6" w:rsidP="00FA31C6">
      <w:pPr>
        <w:spacing w:after="0"/>
        <w:rPr>
          <w:i/>
          <w:iCs/>
          <w:lang w:val="de-DE"/>
        </w:rPr>
      </w:pPr>
    </w:p>
    <w:p w14:paraId="4F953979" w14:textId="77777777" w:rsidR="00A76BC9" w:rsidRPr="00A76BC9" w:rsidRDefault="00A76BC9" w:rsidP="00A76BC9">
      <w:pPr>
        <w:spacing w:after="0"/>
        <w:rPr>
          <w:i/>
          <w:iCs/>
          <w:lang w:val="de-DE"/>
        </w:rPr>
      </w:pPr>
      <w:r w:rsidRPr="269D5259">
        <w:rPr>
          <w:i/>
          <w:iCs/>
          <w:lang w:val="de-DE"/>
        </w:rPr>
        <w:t>Was ist eine Zeitarbeitsunternehmen?</w:t>
      </w:r>
    </w:p>
    <w:p w14:paraId="54EB520D" w14:textId="3E989209" w:rsidR="00A76BC9" w:rsidRPr="00A76BC9" w:rsidRDefault="22C80ABF" w:rsidP="00A76BC9">
      <w:pPr>
        <w:spacing w:after="0"/>
        <w:rPr>
          <w:lang w:val="de-DE"/>
        </w:rPr>
      </w:pPr>
      <w:r w:rsidRPr="269D5259">
        <w:rPr>
          <w:rFonts w:ascii="Aptos" w:eastAsia="Aptos" w:hAnsi="Aptos" w:cs="Aptos"/>
          <w:color w:val="000000" w:themeColor="text1"/>
          <w:lang w:val="de-DE"/>
        </w:rPr>
        <w:t>Ein Zeitarbeitsunternehmen vermittelt zwischen Personen, die eine befristete Anstellung suchen, und Unternehmen, die temporäre Arbeitskräfte benötigen.</w:t>
      </w:r>
      <w:r w:rsidRPr="269D5259">
        <w:rPr>
          <w:lang w:val="de-DE"/>
        </w:rPr>
        <w:t xml:space="preserve"> </w:t>
      </w:r>
      <w:r w:rsidR="00A76BC9" w:rsidRPr="269D5259">
        <w:rPr>
          <w:lang w:val="de-DE"/>
        </w:rPr>
        <w:t>Es vermittelt zwischen Menschen, die (zeitlich befristete) Arbeit suchen (dem Zeitarbeitnehmer) und Unternehmen, die (zeitlich befristete) Arbeitskräfte benötigen (dem Entleiher).</w:t>
      </w:r>
    </w:p>
    <w:p w14:paraId="5431F677" w14:textId="3807586F" w:rsidR="00EE7625" w:rsidRPr="00D51D5D" w:rsidRDefault="00863DD9" w:rsidP="269D5259">
      <w:pPr>
        <w:spacing w:after="0"/>
        <w:rPr>
          <w:highlight w:val="lightGray"/>
          <w:lang w:val="de-DE"/>
        </w:rPr>
      </w:pPr>
      <w:r w:rsidRPr="269D5259">
        <w:rPr>
          <w:lang w:val="de-DE"/>
        </w:rPr>
        <w:t xml:space="preserve">Ein Zeitarbeitnehmer arbeitet auf Auftragsbasis, und die Agentur dient nur als Vermittler zwischen dem Zeitarbeitnehmer und dem Kunden. Bei einem Zeitarbeitsvertrag wird der Zeitarbeitnehmer nur für die Stunden bezahlt, die er gearbeitet hat. Und wenn der Einsatz beendet ist, wird er nicht mehr bezahlt. </w:t>
      </w:r>
      <w:r w:rsidR="2101321E" w:rsidRPr="269D5259">
        <w:rPr>
          <w:rFonts w:ascii="Aptos" w:eastAsia="Aptos" w:hAnsi="Aptos" w:cs="Aptos"/>
          <w:color w:val="000000" w:themeColor="text1"/>
          <w:lang w:val="de-DE"/>
        </w:rPr>
        <w:t xml:space="preserve">Ein Zeitarbeitsvertrag bietet keine Gehaltsgarantie, wie sie bei einem Personalvermittlungsvertrag besteht. </w:t>
      </w:r>
    </w:p>
    <w:p w14:paraId="3CC7C89C" w14:textId="77777777" w:rsidR="00863DD9" w:rsidRPr="00D51D5D" w:rsidRDefault="00863DD9" w:rsidP="00EE7625">
      <w:pPr>
        <w:spacing w:after="0"/>
        <w:rPr>
          <w:i/>
          <w:iCs/>
          <w:lang w:val="de-DE"/>
        </w:rPr>
      </w:pPr>
    </w:p>
    <w:p w14:paraId="1BC91C22" w14:textId="77642169" w:rsidR="00EE7625" w:rsidRPr="00A47A93" w:rsidRDefault="004220CA" w:rsidP="00EE7625">
      <w:pPr>
        <w:spacing w:after="0"/>
        <w:rPr>
          <w:i/>
          <w:iCs/>
          <w:lang w:val="de-DE"/>
        </w:rPr>
      </w:pPr>
      <w:r w:rsidRPr="00A47A93">
        <w:rPr>
          <w:i/>
          <w:iCs/>
          <w:lang w:val="de-DE"/>
        </w:rPr>
        <w:t>Was ist eine Personalvermittlungsfirma</w:t>
      </w:r>
      <w:r w:rsidR="00EE7625" w:rsidRPr="00A47A93">
        <w:rPr>
          <w:i/>
          <w:iCs/>
          <w:lang w:val="de-DE"/>
        </w:rPr>
        <w:t>?</w:t>
      </w:r>
    </w:p>
    <w:p w14:paraId="450D3E08" w14:textId="6795529C" w:rsidR="00EE7625" w:rsidRPr="00B72D53" w:rsidRDefault="004821F0" w:rsidP="00550663">
      <w:pPr>
        <w:spacing w:after="0"/>
        <w:rPr>
          <w:lang w:val="de-DE"/>
        </w:rPr>
      </w:pPr>
      <w:r w:rsidRPr="269D5259">
        <w:rPr>
          <w:lang w:val="de-DE"/>
        </w:rPr>
        <w:t xml:space="preserve">Eine Personalvermittlungsfirma ist ein Unternehmen, das Menschen einstellt, um sie gegen eine Vergütung vorübergehend bei anderen Unternehmen oder Organisationen arbeiten zu lassen. </w:t>
      </w:r>
      <w:r w:rsidR="00550663" w:rsidRPr="269D5259">
        <w:rPr>
          <w:lang w:val="de-DE"/>
        </w:rPr>
        <w:t>Eine überlassene Fachkraft</w:t>
      </w:r>
      <w:r w:rsidR="00550663" w:rsidRPr="269D5259">
        <w:rPr>
          <w:u w:val="single"/>
          <w:lang w:val="de-DE"/>
        </w:rPr>
        <w:t xml:space="preserve"> </w:t>
      </w:r>
      <w:r w:rsidR="00550663" w:rsidRPr="269D5259">
        <w:rPr>
          <w:lang w:val="de-DE"/>
        </w:rPr>
        <w:t xml:space="preserve">oder ein Interim-Profi steht in einem festen Arbeitsverhältnis mit einer Personalvermittlungsfirma. Dabei handelt es sich um einen festen Stundenvertrag, bei dem </w:t>
      </w:r>
      <w:r w:rsidR="009208FC" w:rsidRPr="269D5259">
        <w:rPr>
          <w:lang w:val="de-DE"/>
        </w:rPr>
        <w:t>die Firma</w:t>
      </w:r>
      <w:r w:rsidR="00550663" w:rsidRPr="269D5259">
        <w:rPr>
          <w:lang w:val="de-DE"/>
        </w:rPr>
        <w:t xml:space="preserve"> </w:t>
      </w:r>
      <w:r w:rsidR="009208FC" w:rsidRPr="269D5259">
        <w:rPr>
          <w:lang w:val="de-DE"/>
        </w:rPr>
        <w:t>die</w:t>
      </w:r>
      <w:r w:rsidR="00550663" w:rsidRPr="269D5259">
        <w:rPr>
          <w:lang w:val="de-DE"/>
        </w:rPr>
        <w:t xml:space="preserve"> überlassene Fachkraft bezahlt. D</w:t>
      </w:r>
      <w:r w:rsidR="009208FC" w:rsidRPr="269D5259">
        <w:rPr>
          <w:lang w:val="de-DE"/>
        </w:rPr>
        <w:t>ie Personalvermittlungsfirma</w:t>
      </w:r>
      <w:r w:rsidR="00550663" w:rsidRPr="269D5259">
        <w:rPr>
          <w:lang w:val="de-DE"/>
        </w:rPr>
        <w:t xml:space="preserve"> organisiert die Einsätze. Ist ein Einsatz beendet und noch kein neuer in Aussicht? Dann wird die überlassene Fachkraft weiterhin bezahlt, während das Arbeitsverhältnis bestehen bleibt. </w:t>
      </w:r>
      <w:r w:rsidR="00D44139" w:rsidRPr="269D5259">
        <w:rPr>
          <w:lang w:val="de-DE"/>
        </w:rPr>
        <w:t>Die</w:t>
      </w:r>
      <w:r w:rsidR="00550663" w:rsidRPr="269D5259">
        <w:rPr>
          <w:lang w:val="de-DE"/>
        </w:rPr>
        <w:t xml:space="preserve"> </w:t>
      </w:r>
      <w:r w:rsidR="00D44139" w:rsidRPr="269D5259">
        <w:rPr>
          <w:lang w:val="de-DE"/>
        </w:rPr>
        <w:t xml:space="preserve">Personalvermittlungsfirma </w:t>
      </w:r>
      <w:r w:rsidR="00550663" w:rsidRPr="269D5259">
        <w:rPr>
          <w:lang w:val="de-DE"/>
        </w:rPr>
        <w:t>übernimmt in diesem Fall die Gehaltszahlung.</w:t>
      </w:r>
    </w:p>
    <w:p w14:paraId="281185B6" w14:textId="77777777" w:rsidR="00EE7625" w:rsidRPr="00B72D53" w:rsidRDefault="00EE7625" w:rsidP="00EE7625">
      <w:pPr>
        <w:spacing w:after="0"/>
        <w:rPr>
          <w:lang w:val="de-DE"/>
        </w:rPr>
      </w:pPr>
    </w:p>
    <w:p w14:paraId="43435190" w14:textId="138B8D10" w:rsidR="00EE7625" w:rsidRPr="00B72D53" w:rsidRDefault="00023340" w:rsidP="00023340">
      <w:pPr>
        <w:spacing w:after="0"/>
        <w:rPr>
          <w:i/>
          <w:iCs/>
          <w:lang w:val="de-DE"/>
        </w:rPr>
      </w:pPr>
      <w:r w:rsidRPr="269D5259">
        <w:rPr>
          <w:i/>
          <w:iCs/>
          <w:lang w:val="de-DE"/>
        </w:rPr>
        <w:t xml:space="preserve">Was ist der Unterschied zwischen </w:t>
      </w:r>
      <w:r w:rsidR="00B72D53" w:rsidRPr="269D5259">
        <w:rPr>
          <w:i/>
          <w:iCs/>
          <w:lang w:val="de-DE"/>
        </w:rPr>
        <w:t>Personalvermittlung</w:t>
      </w:r>
      <w:r w:rsidRPr="269D5259">
        <w:rPr>
          <w:i/>
          <w:iCs/>
          <w:lang w:val="de-DE"/>
        </w:rPr>
        <w:t xml:space="preserve"> und Zeitarbeit</w:t>
      </w:r>
      <w:r w:rsidR="00EE7625" w:rsidRPr="269D5259">
        <w:rPr>
          <w:i/>
          <w:iCs/>
          <w:lang w:val="de-DE"/>
        </w:rPr>
        <w:t xml:space="preserve">? </w:t>
      </w:r>
    </w:p>
    <w:p w14:paraId="11362B35" w14:textId="1C822744" w:rsidR="00BB6461" w:rsidRPr="00BB6461" w:rsidRDefault="73778EE6" w:rsidP="00BB6461">
      <w:pPr>
        <w:spacing w:after="0"/>
        <w:rPr>
          <w:lang w:val="de-DE"/>
        </w:rPr>
      </w:pPr>
      <w:r w:rsidRPr="269D5259">
        <w:rPr>
          <w:rFonts w:ascii="Aptos" w:eastAsia="Aptos" w:hAnsi="Aptos" w:cs="Aptos"/>
          <w:color w:val="000000" w:themeColor="text1"/>
          <w:lang w:val="de-DE"/>
        </w:rPr>
        <w:t xml:space="preserve">Bei der Personalvermittlung erhalten Mitarbeitende einen festen Vertrag und werden auch zwischen Aufträgen weiterbezahlt. </w:t>
      </w:r>
      <w:r w:rsidR="00BB6461" w:rsidRPr="269D5259">
        <w:rPr>
          <w:lang w:val="de-DE"/>
        </w:rPr>
        <w:t>Personalvermittlung bietet einen festen Vertrag bei eine</w:t>
      </w:r>
      <w:r w:rsidR="00FD113A" w:rsidRPr="269D5259">
        <w:rPr>
          <w:lang w:val="de-DE"/>
        </w:rPr>
        <w:t>r</w:t>
      </w:r>
      <w:r w:rsidR="00BB6461" w:rsidRPr="269D5259">
        <w:rPr>
          <w:lang w:val="de-DE"/>
        </w:rPr>
        <w:t xml:space="preserve"> </w:t>
      </w:r>
      <w:r w:rsidR="00FD113A" w:rsidRPr="269D5259">
        <w:rPr>
          <w:lang w:val="de-DE"/>
        </w:rPr>
        <w:t>Personalvermittlungsfirma</w:t>
      </w:r>
      <w:r w:rsidR="00BB6461" w:rsidRPr="269D5259">
        <w:rPr>
          <w:lang w:val="de-DE"/>
        </w:rPr>
        <w:t>, wobei man auch zwischen Aufträgen weiterbezahlt wird. Zeitarbeit bedeutet, auf Basis eines Zeitarbeitsvertrags zu arbeiten, was mit weniger Sicherheit verbunden ist.</w:t>
      </w:r>
    </w:p>
    <w:p w14:paraId="643DECF5" w14:textId="77777777" w:rsidR="00361E8E" w:rsidRDefault="00361E8E" w:rsidP="00BB6461">
      <w:pPr>
        <w:spacing w:after="0"/>
        <w:rPr>
          <w:lang w:val="de-DE"/>
        </w:rPr>
      </w:pPr>
    </w:p>
    <w:p w14:paraId="66244ED1" w14:textId="161CCB86" w:rsidR="00BB6461" w:rsidRPr="00BB6461" w:rsidRDefault="5F032027" w:rsidP="00BB6461">
      <w:pPr>
        <w:spacing w:after="0"/>
        <w:rPr>
          <w:lang w:val="de-DE"/>
        </w:rPr>
      </w:pPr>
      <w:r w:rsidRPr="269D5259">
        <w:rPr>
          <w:rFonts w:ascii="Aptos" w:eastAsia="Aptos" w:hAnsi="Aptos" w:cs="Aptos"/>
          <w:color w:val="000000" w:themeColor="text1"/>
          <w:lang w:val="de-DE"/>
        </w:rPr>
        <w:t>Die Unterschiede zwischen Arbeitnehmerüberlassung und Zeitarbeit lassen sich auf drei wesentliche Punkte reduzieren:</w:t>
      </w:r>
      <w:r w:rsidRPr="269D5259">
        <w:rPr>
          <w:lang w:val="de-DE"/>
        </w:rPr>
        <w:t xml:space="preserve"> </w:t>
      </w:r>
    </w:p>
    <w:p w14:paraId="53E876C1" w14:textId="4A9DA830" w:rsidR="006A7ADB" w:rsidRPr="006A7ADB" w:rsidRDefault="006A7ADB" w:rsidP="006A7ADB">
      <w:pPr>
        <w:pStyle w:val="Lijstalinea"/>
        <w:numPr>
          <w:ilvl w:val="0"/>
          <w:numId w:val="8"/>
        </w:numPr>
        <w:spacing w:after="0"/>
        <w:rPr>
          <w:lang w:val="de-DE"/>
        </w:rPr>
      </w:pPr>
      <w:r w:rsidRPr="006A7ADB">
        <w:rPr>
          <w:lang w:val="de-DE"/>
        </w:rPr>
        <w:t>Vertragsform (Festvertrag vs. Zeitarbeitsvertrag)</w:t>
      </w:r>
    </w:p>
    <w:p w14:paraId="1820AC1F" w14:textId="77777777" w:rsidR="006A7ADB" w:rsidRPr="006A7ADB" w:rsidRDefault="006A7ADB" w:rsidP="006A7ADB">
      <w:pPr>
        <w:pStyle w:val="Lijstalinea"/>
        <w:numPr>
          <w:ilvl w:val="0"/>
          <w:numId w:val="8"/>
        </w:numPr>
        <w:spacing w:after="0"/>
        <w:rPr>
          <w:lang w:val="de-DE"/>
        </w:rPr>
      </w:pPr>
      <w:r w:rsidRPr="006A7ADB">
        <w:rPr>
          <w:lang w:val="de-DE"/>
        </w:rPr>
        <w:t>Art des Einsatzes (spezialisiert vs. allgemein)</w:t>
      </w:r>
    </w:p>
    <w:p w14:paraId="1B7967D7" w14:textId="3877EB37" w:rsidR="00EE7625" w:rsidRPr="006A7ADB" w:rsidRDefault="006A7ADB" w:rsidP="006A7ADB">
      <w:pPr>
        <w:pStyle w:val="Lijstalinea"/>
        <w:numPr>
          <w:ilvl w:val="0"/>
          <w:numId w:val="8"/>
        </w:numPr>
        <w:spacing w:after="0"/>
        <w:rPr>
          <w:lang w:val="de-DE"/>
        </w:rPr>
      </w:pPr>
      <w:r w:rsidRPr="006A7ADB">
        <w:rPr>
          <w:lang w:val="de-DE"/>
        </w:rPr>
        <w:t>Dauer der Beziehung (langfristiges Arbeitsverhältnis vs. kurzfristiges Arbeitsverhältnis)</w:t>
      </w:r>
    </w:p>
    <w:sectPr w:rsidR="00EE7625" w:rsidRPr="006A7AD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DB657" w14:textId="77777777" w:rsidR="00A25AC5" w:rsidRDefault="00A25AC5" w:rsidP="00AA4404">
      <w:pPr>
        <w:spacing w:after="0" w:line="240" w:lineRule="auto"/>
      </w:pPr>
      <w:r>
        <w:separator/>
      </w:r>
    </w:p>
  </w:endnote>
  <w:endnote w:type="continuationSeparator" w:id="0">
    <w:p w14:paraId="6E1CB0E3" w14:textId="77777777" w:rsidR="00A25AC5" w:rsidRDefault="00A25AC5" w:rsidP="00AA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BA14E" w14:textId="77777777" w:rsidR="00720A56" w:rsidRDefault="00720A5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32886" w14:textId="77777777" w:rsidR="00720A56" w:rsidRDefault="00720A5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50548" w14:textId="77777777" w:rsidR="00720A56" w:rsidRDefault="00720A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F4906" w14:textId="77777777" w:rsidR="00A25AC5" w:rsidRDefault="00A25AC5" w:rsidP="00AA4404">
      <w:pPr>
        <w:spacing w:after="0" w:line="240" w:lineRule="auto"/>
      </w:pPr>
      <w:r>
        <w:separator/>
      </w:r>
    </w:p>
  </w:footnote>
  <w:footnote w:type="continuationSeparator" w:id="0">
    <w:p w14:paraId="3DFB3F1C" w14:textId="77777777" w:rsidR="00A25AC5" w:rsidRDefault="00A25AC5" w:rsidP="00AA4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0FAAF" w14:textId="77777777" w:rsidR="00720A56" w:rsidRDefault="00720A5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BBA0" w14:textId="6F58636B" w:rsidR="00720A56" w:rsidRDefault="00720A56" w:rsidP="00720A56">
    <w:pPr>
      <w:pStyle w:val="Koptekst"/>
      <w:jc w:val="right"/>
    </w:pPr>
    <w:r>
      <w:rPr>
        <w:noProof/>
      </w:rPr>
      <w:drawing>
        <wp:inline distT="0" distB="0" distL="0" distR="0" wp14:anchorId="2CEB028C" wp14:editId="4ECD864E">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8547A" w14:textId="77777777" w:rsidR="00720A56" w:rsidRDefault="00720A5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133954"/>
    <w:multiLevelType w:val="hybridMultilevel"/>
    <w:tmpl w:val="37447BA4"/>
    <w:lvl w:ilvl="0" w:tplc="63A87B5E">
      <w:numFmt w:val="bullet"/>
      <w:lvlText w:val="-"/>
      <w:lvlJc w:val="left"/>
      <w:pPr>
        <w:ind w:left="1146" w:hanging="360"/>
      </w:pPr>
      <w:rPr>
        <w:rFonts w:ascii="Aptos" w:eastAsiaTheme="minorHAnsi" w:hAnsi="Aptos" w:cstheme="minorBidi"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D477BA"/>
    <w:multiLevelType w:val="hybridMultilevel"/>
    <w:tmpl w:val="751E9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C645830"/>
    <w:multiLevelType w:val="hybridMultilevel"/>
    <w:tmpl w:val="AA004D28"/>
    <w:lvl w:ilvl="0" w:tplc="3DAA2F02">
      <w:start w:val="1"/>
      <w:numFmt w:val="lowerLetter"/>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82189500">
    <w:abstractNumId w:val="4"/>
  </w:num>
  <w:num w:numId="2" w16cid:durableId="104277141">
    <w:abstractNumId w:val="2"/>
  </w:num>
  <w:num w:numId="3" w16cid:durableId="2037346317">
    <w:abstractNumId w:val="6"/>
  </w:num>
  <w:num w:numId="4" w16cid:durableId="1206602690">
    <w:abstractNumId w:val="1"/>
  </w:num>
  <w:num w:numId="5" w16cid:durableId="853419595">
    <w:abstractNumId w:val="0"/>
  </w:num>
  <w:num w:numId="6" w16cid:durableId="1386223911">
    <w:abstractNumId w:val="7"/>
  </w:num>
  <w:num w:numId="7" w16cid:durableId="2080782403">
    <w:abstractNumId w:val="3"/>
  </w:num>
  <w:num w:numId="8" w16cid:durableId="11748763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13CDB"/>
    <w:rsid w:val="00023340"/>
    <w:rsid w:val="00036368"/>
    <w:rsid w:val="00040FA8"/>
    <w:rsid w:val="00091201"/>
    <w:rsid w:val="000B2073"/>
    <w:rsid w:val="000C371A"/>
    <w:rsid w:val="000D75BF"/>
    <w:rsid w:val="00117938"/>
    <w:rsid w:val="00117EF6"/>
    <w:rsid w:val="001358B8"/>
    <w:rsid w:val="001462E3"/>
    <w:rsid w:val="001667FD"/>
    <w:rsid w:val="00176155"/>
    <w:rsid w:val="0019340A"/>
    <w:rsid w:val="00194D09"/>
    <w:rsid w:val="001A39B8"/>
    <w:rsid w:val="001C1F56"/>
    <w:rsid w:val="001E3ABF"/>
    <w:rsid w:val="001F7B5C"/>
    <w:rsid w:val="002302EE"/>
    <w:rsid w:val="00230B10"/>
    <w:rsid w:val="002333F9"/>
    <w:rsid w:val="002A0427"/>
    <w:rsid w:val="002B1DF1"/>
    <w:rsid w:val="002B54FE"/>
    <w:rsid w:val="002D05EC"/>
    <w:rsid w:val="002D2FFF"/>
    <w:rsid w:val="002F79B3"/>
    <w:rsid w:val="00311891"/>
    <w:rsid w:val="00360B17"/>
    <w:rsid w:val="00361E8E"/>
    <w:rsid w:val="00363968"/>
    <w:rsid w:val="003C0869"/>
    <w:rsid w:val="003D1013"/>
    <w:rsid w:val="003E5C3E"/>
    <w:rsid w:val="004220CA"/>
    <w:rsid w:val="004821F0"/>
    <w:rsid w:val="0048683C"/>
    <w:rsid w:val="004902D0"/>
    <w:rsid w:val="00491C7F"/>
    <w:rsid w:val="004A2ED4"/>
    <w:rsid w:val="004A6B38"/>
    <w:rsid w:val="004C7368"/>
    <w:rsid w:val="00507F4D"/>
    <w:rsid w:val="0051196F"/>
    <w:rsid w:val="00550663"/>
    <w:rsid w:val="00551A1C"/>
    <w:rsid w:val="00563101"/>
    <w:rsid w:val="00576960"/>
    <w:rsid w:val="00577C9B"/>
    <w:rsid w:val="00611D15"/>
    <w:rsid w:val="00612FB8"/>
    <w:rsid w:val="006375EB"/>
    <w:rsid w:val="00640614"/>
    <w:rsid w:val="00654214"/>
    <w:rsid w:val="0065785F"/>
    <w:rsid w:val="00693C92"/>
    <w:rsid w:val="006A7ADB"/>
    <w:rsid w:val="006B156E"/>
    <w:rsid w:val="006D40BA"/>
    <w:rsid w:val="006E77A4"/>
    <w:rsid w:val="00720A56"/>
    <w:rsid w:val="00727A19"/>
    <w:rsid w:val="007470EE"/>
    <w:rsid w:val="00747DC3"/>
    <w:rsid w:val="00757A7C"/>
    <w:rsid w:val="00780284"/>
    <w:rsid w:val="007A1B97"/>
    <w:rsid w:val="007A6C06"/>
    <w:rsid w:val="007A757A"/>
    <w:rsid w:val="007B68C4"/>
    <w:rsid w:val="007C40E0"/>
    <w:rsid w:val="007C4C10"/>
    <w:rsid w:val="007C58FE"/>
    <w:rsid w:val="007D7D7E"/>
    <w:rsid w:val="007E6B47"/>
    <w:rsid w:val="007F5F1E"/>
    <w:rsid w:val="00804BAA"/>
    <w:rsid w:val="00834F58"/>
    <w:rsid w:val="008413FA"/>
    <w:rsid w:val="00850F10"/>
    <w:rsid w:val="00863DD9"/>
    <w:rsid w:val="00883A86"/>
    <w:rsid w:val="00896D09"/>
    <w:rsid w:val="008A66DB"/>
    <w:rsid w:val="008B465A"/>
    <w:rsid w:val="008D4942"/>
    <w:rsid w:val="008E075A"/>
    <w:rsid w:val="008E7F50"/>
    <w:rsid w:val="008F6067"/>
    <w:rsid w:val="00915EC6"/>
    <w:rsid w:val="0091665C"/>
    <w:rsid w:val="009208FC"/>
    <w:rsid w:val="00924647"/>
    <w:rsid w:val="009369DE"/>
    <w:rsid w:val="009730F3"/>
    <w:rsid w:val="009C3205"/>
    <w:rsid w:val="009D18F4"/>
    <w:rsid w:val="009E2D5A"/>
    <w:rsid w:val="00A14F65"/>
    <w:rsid w:val="00A24C09"/>
    <w:rsid w:val="00A25AC5"/>
    <w:rsid w:val="00A3064F"/>
    <w:rsid w:val="00A36465"/>
    <w:rsid w:val="00A47A93"/>
    <w:rsid w:val="00A6750F"/>
    <w:rsid w:val="00A751FB"/>
    <w:rsid w:val="00A76BC9"/>
    <w:rsid w:val="00A84F62"/>
    <w:rsid w:val="00A86FC2"/>
    <w:rsid w:val="00A937A2"/>
    <w:rsid w:val="00A94185"/>
    <w:rsid w:val="00AA4404"/>
    <w:rsid w:val="00AB1162"/>
    <w:rsid w:val="00AB4524"/>
    <w:rsid w:val="00AF0E7D"/>
    <w:rsid w:val="00B02669"/>
    <w:rsid w:val="00B1148C"/>
    <w:rsid w:val="00B131D5"/>
    <w:rsid w:val="00B40CBB"/>
    <w:rsid w:val="00B412A4"/>
    <w:rsid w:val="00B66BF0"/>
    <w:rsid w:val="00B724F0"/>
    <w:rsid w:val="00B72D53"/>
    <w:rsid w:val="00B74721"/>
    <w:rsid w:val="00B90EE6"/>
    <w:rsid w:val="00B96C8B"/>
    <w:rsid w:val="00BA31CB"/>
    <w:rsid w:val="00BB6461"/>
    <w:rsid w:val="00BD2C1F"/>
    <w:rsid w:val="00BE7E61"/>
    <w:rsid w:val="00C03FB8"/>
    <w:rsid w:val="00C0484E"/>
    <w:rsid w:val="00C4176B"/>
    <w:rsid w:val="00C5511A"/>
    <w:rsid w:val="00C72726"/>
    <w:rsid w:val="00C76E25"/>
    <w:rsid w:val="00C858D5"/>
    <w:rsid w:val="00CC34A9"/>
    <w:rsid w:val="00CD512C"/>
    <w:rsid w:val="00CF7892"/>
    <w:rsid w:val="00D0722E"/>
    <w:rsid w:val="00D1021A"/>
    <w:rsid w:val="00D11B3E"/>
    <w:rsid w:val="00D1348F"/>
    <w:rsid w:val="00D20D8C"/>
    <w:rsid w:val="00D31000"/>
    <w:rsid w:val="00D43757"/>
    <w:rsid w:val="00D44139"/>
    <w:rsid w:val="00D51D5D"/>
    <w:rsid w:val="00D6741D"/>
    <w:rsid w:val="00D93B9E"/>
    <w:rsid w:val="00DB3CD8"/>
    <w:rsid w:val="00DD1BCE"/>
    <w:rsid w:val="00DF6BCD"/>
    <w:rsid w:val="00E30FFD"/>
    <w:rsid w:val="00E324A0"/>
    <w:rsid w:val="00E47297"/>
    <w:rsid w:val="00E5186A"/>
    <w:rsid w:val="00E6367A"/>
    <w:rsid w:val="00E717BC"/>
    <w:rsid w:val="00E85813"/>
    <w:rsid w:val="00EC068D"/>
    <w:rsid w:val="00EC171A"/>
    <w:rsid w:val="00EE020C"/>
    <w:rsid w:val="00EE3F93"/>
    <w:rsid w:val="00EE5D96"/>
    <w:rsid w:val="00EE7625"/>
    <w:rsid w:val="00EE7ABB"/>
    <w:rsid w:val="00F00084"/>
    <w:rsid w:val="00F1108A"/>
    <w:rsid w:val="00F42D76"/>
    <w:rsid w:val="00F519B5"/>
    <w:rsid w:val="00F74188"/>
    <w:rsid w:val="00FA31C6"/>
    <w:rsid w:val="00FB6BB8"/>
    <w:rsid w:val="00FD113A"/>
    <w:rsid w:val="00FD7B09"/>
    <w:rsid w:val="00FE7569"/>
    <w:rsid w:val="00FF025A"/>
    <w:rsid w:val="073F4BD5"/>
    <w:rsid w:val="080BFB00"/>
    <w:rsid w:val="0BBAACB4"/>
    <w:rsid w:val="0F5E234C"/>
    <w:rsid w:val="143FD1E9"/>
    <w:rsid w:val="17CA18D6"/>
    <w:rsid w:val="1B43B403"/>
    <w:rsid w:val="1B79057E"/>
    <w:rsid w:val="1C9E33BC"/>
    <w:rsid w:val="2101321E"/>
    <w:rsid w:val="22C80ABF"/>
    <w:rsid w:val="2632145A"/>
    <w:rsid w:val="269D5259"/>
    <w:rsid w:val="2B265E49"/>
    <w:rsid w:val="32CD2F88"/>
    <w:rsid w:val="37B8A7F9"/>
    <w:rsid w:val="3CC51796"/>
    <w:rsid w:val="44566D18"/>
    <w:rsid w:val="44D86014"/>
    <w:rsid w:val="49FB66A7"/>
    <w:rsid w:val="4E8F0D40"/>
    <w:rsid w:val="528E7BF3"/>
    <w:rsid w:val="58C01893"/>
    <w:rsid w:val="5BF25FC6"/>
    <w:rsid w:val="5F032027"/>
    <w:rsid w:val="627B58C6"/>
    <w:rsid w:val="69A818F6"/>
    <w:rsid w:val="69F2306E"/>
    <w:rsid w:val="6F7BDAB7"/>
    <w:rsid w:val="7374CEF9"/>
    <w:rsid w:val="73778EE6"/>
    <w:rsid w:val="750D8AD8"/>
    <w:rsid w:val="7A0E8516"/>
    <w:rsid w:val="7A791039"/>
    <w:rsid w:val="7D2D8B60"/>
    <w:rsid w:val="7E271CC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table" w:styleId="Tabelraster">
    <w:name w:val="Table Grid"/>
    <w:basedOn w:val="Standaardtabel"/>
    <w:uiPriority w:val="39"/>
    <w:rsid w:val="001C1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1C1F5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AA440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4404"/>
  </w:style>
  <w:style w:type="paragraph" w:styleId="Voettekst">
    <w:name w:val="footer"/>
    <w:basedOn w:val="Standaard"/>
    <w:link w:val="VoettekstChar"/>
    <w:uiPriority w:val="99"/>
    <w:unhideWhenUsed/>
    <w:rsid w:val="00AA440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4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029824">
      <w:bodyDiv w:val="1"/>
      <w:marLeft w:val="0"/>
      <w:marRight w:val="0"/>
      <w:marTop w:val="0"/>
      <w:marBottom w:val="0"/>
      <w:divBdr>
        <w:top w:val="none" w:sz="0" w:space="0" w:color="auto"/>
        <w:left w:val="none" w:sz="0" w:space="0" w:color="auto"/>
        <w:bottom w:val="none" w:sz="0" w:space="0" w:color="auto"/>
        <w:right w:val="none" w:sz="0" w:space="0" w:color="auto"/>
      </w:divBdr>
    </w:div>
    <w:div w:id="477697972">
      <w:bodyDiv w:val="1"/>
      <w:marLeft w:val="0"/>
      <w:marRight w:val="0"/>
      <w:marTop w:val="0"/>
      <w:marBottom w:val="0"/>
      <w:divBdr>
        <w:top w:val="none" w:sz="0" w:space="0" w:color="auto"/>
        <w:left w:val="none" w:sz="0" w:space="0" w:color="auto"/>
        <w:bottom w:val="none" w:sz="0" w:space="0" w:color="auto"/>
        <w:right w:val="none" w:sz="0" w:space="0" w:color="auto"/>
      </w:divBdr>
    </w:div>
    <w:div w:id="707877443">
      <w:bodyDiv w:val="1"/>
      <w:marLeft w:val="0"/>
      <w:marRight w:val="0"/>
      <w:marTop w:val="0"/>
      <w:marBottom w:val="0"/>
      <w:divBdr>
        <w:top w:val="none" w:sz="0" w:space="0" w:color="auto"/>
        <w:left w:val="none" w:sz="0" w:space="0" w:color="auto"/>
        <w:bottom w:val="none" w:sz="0" w:space="0" w:color="auto"/>
        <w:right w:val="none" w:sz="0" w:space="0" w:color="auto"/>
      </w:divBdr>
    </w:div>
    <w:div w:id="944076332">
      <w:bodyDiv w:val="1"/>
      <w:marLeft w:val="0"/>
      <w:marRight w:val="0"/>
      <w:marTop w:val="0"/>
      <w:marBottom w:val="0"/>
      <w:divBdr>
        <w:top w:val="none" w:sz="0" w:space="0" w:color="auto"/>
        <w:left w:val="none" w:sz="0" w:space="0" w:color="auto"/>
        <w:bottom w:val="none" w:sz="0" w:space="0" w:color="auto"/>
        <w:right w:val="none" w:sz="0" w:space="0" w:color="auto"/>
      </w:divBdr>
    </w:div>
    <w:div w:id="1034965703">
      <w:bodyDiv w:val="1"/>
      <w:marLeft w:val="0"/>
      <w:marRight w:val="0"/>
      <w:marTop w:val="0"/>
      <w:marBottom w:val="0"/>
      <w:divBdr>
        <w:top w:val="none" w:sz="0" w:space="0" w:color="auto"/>
        <w:left w:val="none" w:sz="0" w:space="0" w:color="auto"/>
        <w:bottom w:val="none" w:sz="0" w:space="0" w:color="auto"/>
        <w:right w:val="none" w:sz="0" w:space="0" w:color="auto"/>
      </w:divBdr>
    </w:div>
    <w:div w:id="1077632578">
      <w:bodyDiv w:val="1"/>
      <w:marLeft w:val="0"/>
      <w:marRight w:val="0"/>
      <w:marTop w:val="0"/>
      <w:marBottom w:val="0"/>
      <w:divBdr>
        <w:top w:val="none" w:sz="0" w:space="0" w:color="auto"/>
        <w:left w:val="none" w:sz="0" w:space="0" w:color="auto"/>
        <w:bottom w:val="none" w:sz="0" w:space="0" w:color="auto"/>
        <w:right w:val="none" w:sz="0" w:space="0" w:color="auto"/>
      </w:divBdr>
    </w:div>
    <w:div w:id="1141848887">
      <w:bodyDiv w:val="1"/>
      <w:marLeft w:val="0"/>
      <w:marRight w:val="0"/>
      <w:marTop w:val="0"/>
      <w:marBottom w:val="0"/>
      <w:divBdr>
        <w:top w:val="none" w:sz="0" w:space="0" w:color="auto"/>
        <w:left w:val="none" w:sz="0" w:space="0" w:color="auto"/>
        <w:bottom w:val="none" w:sz="0" w:space="0" w:color="auto"/>
        <w:right w:val="none" w:sz="0" w:space="0" w:color="auto"/>
      </w:divBdr>
    </w:div>
    <w:div w:id="1191259924">
      <w:bodyDiv w:val="1"/>
      <w:marLeft w:val="0"/>
      <w:marRight w:val="0"/>
      <w:marTop w:val="0"/>
      <w:marBottom w:val="0"/>
      <w:divBdr>
        <w:top w:val="none" w:sz="0" w:space="0" w:color="auto"/>
        <w:left w:val="none" w:sz="0" w:space="0" w:color="auto"/>
        <w:bottom w:val="none" w:sz="0" w:space="0" w:color="auto"/>
        <w:right w:val="none" w:sz="0" w:space="0" w:color="auto"/>
      </w:divBdr>
    </w:div>
    <w:div w:id="1298342709">
      <w:bodyDiv w:val="1"/>
      <w:marLeft w:val="0"/>
      <w:marRight w:val="0"/>
      <w:marTop w:val="0"/>
      <w:marBottom w:val="0"/>
      <w:divBdr>
        <w:top w:val="none" w:sz="0" w:space="0" w:color="auto"/>
        <w:left w:val="none" w:sz="0" w:space="0" w:color="auto"/>
        <w:bottom w:val="none" w:sz="0" w:space="0" w:color="auto"/>
        <w:right w:val="none" w:sz="0" w:space="0" w:color="auto"/>
      </w:divBdr>
    </w:div>
    <w:div w:id="1432432747">
      <w:bodyDiv w:val="1"/>
      <w:marLeft w:val="0"/>
      <w:marRight w:val="0"/>
      <w:marTop w:val="0"/>
      <w:marBottom w:val="0"/>
      <w:divBdr>
        <w:top w:val="none" w:sz="0" w:space="0" w:color="auto"/>
        <w:left w:val="none" w:sz="0" w:space="0" w:color="auto"/>
        <w:bottom w:val="none" w:sz="0" w:space="0" w:color="auto"/>
        <w:right w:val="none" w:sz="0" w:space="0" w:color="auto"/>
      </w:divBdr>
    </w:div>
    <w:div w:id="1589578311">
      <w:bodyDiv w:val="1"/>
      <w:marLeft w:val="0"/>
      <w:marRight w:val="0"/>
      <w:marTop w:val="0"/>
      <w:marBottom w:val="0"/>
      <w:divBdr>
        <w:top w:val="none" w:sz="0" w:space="0" w:color="auto"/>
        <w:left w:val="none" w:sz="0" w:space="0" w:color="auto"/>
        <w:bottom w:val="none" w:sz="0" w:space="0" w:color="auto"/>
        <w:right w:val="none" w:sz="0" w:space="0" w:color="auto"/>
      </w:divBdr>
    </w:div>
    <w:div w:id="1631979395">
      <w:bodyDiv w:val="1"/>
      <w:marLeft w:val="0"/>
      <w:marRight w:val="0"/>
      <w:marTop w:val="0"/>
      <w:marBottom w:val="0"/>
      <w:divBdr>
        <w:top w:val="none" w:sz="0" w:space="0" w:color="auto"/>
        <w:left w:val="none" w:sz="0" w:space="0" w:color="auto"/>
        <w:bottom w:val="none" w:sz="0" w:space="0" w:color="auto"/>
        <w:right w:val="none" w:sz="0" w:space="0" w:color="auto"/>
      </w:divBdr>
    </w:div>
    <w:div w:id="1729188695">
      <w:bodyDiv w:val="1"/>
      <w:marLeft w:val="0"/>
      <w:marRight w:val="0"/>
      <w:marTop w:val="0"/>
      <w:marBottom w:val="0"/>
      <w:divBdr>
        <w:top w:val="none" w:sz="0" w:space="0" w:color="auto"/>
        <w:left w:val="none" w:sz="0" w:space="0" w:color="auto"/>
        <w:bottom w:val="none" w:sz="0" w:space="0" w:color="auto"/>
        <w:right w:val="none" w:sz="0" w:space="0" w:color="auto"/>
      </w:divBdr>
    </w:div>
    <w:div w:id="187361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aa5b8dd-10c7-4ace-84a3-8edf5dd86461" xsi:nil="true"/>
    <lcf76f155ced4ddcb4097134ff3c332f xmlns="8c759bf6-42e2-4be2-8076-ca901ae762be">
      <Terms xmlns="http://schemas.microsoft.com/office/infopath/2007/PartnerControls"/>
    </lcf76f155ced4ddcb4097134ff3c332f>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0E47A4-7880-4D96-9F78-A9FB5BAB8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7E6E69-4265-4238-BD83-B969F6EA9D66}">
  <ds:schemaRefs>
    <ds:schemaRef ds:uri="http://purl.org/dc/elements/1.1/"/>
    <ds:schemaRef ds:uri="8c759bf6-42e2-4be2-8076-ca901ae762be"/>
    <ds:schemaRef ds:uri="0aa5b8dd-10c7-4ace-84a3-8edf5dd86461"/>
    <ds:schemaRef ds:uri="http://purl.org/dc/dcmitype/"/>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AC5806B-7968-4C07-AB5A-8B46891239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5289</Characters>
  <Application>Microsoft Office Word</Application>
  <DocSecurity>0</DocSecurity>
  <Lines>44</Lines>
  <Paragraphs>12</Paragraphs>
  <ScaleCrop>false</ScaleCrop>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89</cp:revision>
  <dcterms:created xsi:type="dcterms:W3CDTF">2025-01-09T16:09:00Z</dcterms:created>
  <dcterms:modified xsi:type="dcterms:W3CDTF">2025-03-07T07:18:00Z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