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601AE7">
        <w:tc>
          <w:tcPr>
            <w:tcW w:w="2228" w:type="dxa"/>
            <w:tcMar>
              <w:top w:w="113" w:type="dxa"/>
            </w:tcMar>
          </w:tcPr>
          <w:p w14:paraId="3F29EE4A" w14:textId="16A570DB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</w:t>
            </w:r>
            <w:r w:rsidR="00673DB9">
              <w:rPr>
                <w:rFonts w:ascii="Arial" w:hAnsi="Arial" w:cs="Arial"/>
                <w:sz w:val="20"/>
                <w:szCs w:val="20"/>
              </w:rPr>
              <w:t>schluss</w:t>
            </w:r>
            <w:r w:rsidRPr="00047508">
              <w:rPr>
                <w:rFonts w:ascii="Arial" w:hAnsi="Arial" w:cs="Arial"/>
                <w:sz w:val="20"/>
                <w:szCs w:val="20"/>
              </w:rPr>
              <w:t>nummer:</w:t>
            </w:r>
          </w:p>
        </w:tc>
        <w:tc>
          <w:tcPr>
            <w:tcW w:w="2544" w:type="dxa"/>
            <w:tcMar>
              <w:top w:w="113" w:type="dxa"/>
            </w:tcMar>
          </w:tcPr>
          <w:p w14:paraId="46A76B38" w14:textId="4BF545F0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F020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F93FD2" w14:paraId="389C6995" w14:textId="77777777" w:rsidTr="00601AE7">
        <w:tc>
          <w:tcPr>
            <w:tcW w:w="2228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7006" w:type="dxa"/>
            <w:gridSpan w:val="3"/>
            <w:tcMar>
              <w:top w:w="113" w:type="dxa"/>
            </w:tcMar>
          </w:tcPr>
          <w:p w14:paraId="787B98A8" w14:textId="735F7D0E" w:rsidR="00872908" w:rsidRPr="00F118C4" w:rsidRDefault="00F118C4" w:rsidP="00F118C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118C4">
              <w:rPr>
                <w:rFonts w:ascii="Arial" w:hAnsi="Arial" w:cs="Arial"/>
                <w:sz w:val="20"/>
                <w:szCs w:val="20"/>
                <w:lang w:val="de-DE"/>
              </w:rPr>
              <w:t>Beschluss zu den Namen der Interviewten in der Auditberichterstattung</w:t>
            </w:r>
          </w:p>
        </w:tc>
      </w:tr>
      <w:tr w:rsidR="00872908" w:rsidRPr="00611659" w14:paraId="19149D5E" w14:textId="77777777" w:rsidTr="00601AE7">
        <w:tc>
          <w:tcPr>
            <w:tcW w:w="222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AE7" w:rsidRPr="00611659" w14:paraId="09165B4E" w14:textId="77777777" w:rsidTr="00601AE7">
        <w:trPr>
          <w:trHeight w:val="596"/>
        </w:trPr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3C0F8AA0" w:rsidR="00601AE7" w:rsidRPr="00047508" w:rsidRDefault="00601AE7" w:rsidP="00601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Umsetzung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2875E1C" w:rsidR="00601AE7" w:rsidRPr="00601AE7" w:rsidRDefault="00601AE7" w:rsidP="00601AE7">
            <w:pPr>
              <w:ind w:right="-1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16B2">
              <w:rPr>
                <w:rFonts w:ascii="Arial" w:hAnsi="Arial" w:cs="Arial"/>
                <w:sz w:val="20"/>
                <w:szCs w:val="20"/>
                <w:lang w:val="de-DE"/>
              </w:rPr>
              <w:t xml:space="preserve">Veröffentlichung auf der Website und im Normen- und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Z</w:t>
            </w:r>
            <w:r w:rsidRPr="000116B2">
              <w:rPr>
                <w:rFonts w:ascii="Arial" w:hAnsi="Arial" w:cs="Arial"/>
                <w:sz w:val="20"/>
                <w:szCs w:val="20"/>
                <w:lang w:val="de-DE"/>
              </w:rPr>
              <w:t>ertifizierungsprogramm SCL 2.0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00C4D32E" w:rsidR="00601AE7" w:rsidRPr="00047508" w:rsidRDefault="00601AE7" w:rsidP="00601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Datum des </w:t>
            </w:r>
            <w:r w:rsidRPr="00BE7E61">
              <w:rPr>
                <w:rFonts w:ascii="Arial" w:hAnsi="Arial" w:cs="Arial"/>
                <w:sz w:val="20"/>
                <w:szCs w:val="20"/>
              </w:rPr>
              <w:t>Inkrafttretens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33744AB2" w:rsidR="00601AE7" w:rsidRPr="00047508" w:rsidRDefault="00601AE7" w:rsidP="00601A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 sofort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34A999B1" w:rsidR="007F4010" w:rsidRPr="007F4010" w:rsidRDefault="00673DB9" w:rsidP="00A46721">
      <w:pPr>
        <w:spacing w:after="0"/>
        <w:rPr>
          <w:color w:val="009691"/>
        </w:rPr>
      </w:pPr>
      <w:r>
        <w:rPr>
          <w:color w:val="009691"/>
        </w:rPr>
        <w:t>Hintergrund:</w:t>
      </w:r>
    </w:p>
    <w:p w14:paraId="760BCDB5" w14:textId="10E7E76F" w:rsidR="0077175F" w:rsidRPr="007E0653" w:rsidRDefault="007E0653" w:rsidP="007E0653">
      <w:pPr>
        <w:spacing w:after="0"/>
        <w:rPr>
          <w:lang w:val="de-DE"/>
        </w:rPr>
      </w:pPr>
      <w:r w:rsidRPr="048784BE">
        <w:rPr>
          <w:lang w:val="de-DE"/>
        </w:rPr>
        <w:t xml:space="preserve">Im Zertifizierungsschema für die SCL werden in Kapitel 7.9 die Anforderungen beschrieben, denen die Auditberichterstattung entsprechen muss. </w:t>
      </w:r>
      <w:r w:rsidR="30FC908B" w:rsidRPr="048784BE">
        <w:rPr>
          <w:lang w:val="de-DE"/>
        </w:rPr>
        <w:t>I</w:t>
      </w:r>
      <w:r w:rsidR="30FC908B" w:rsidRPr="048784BE">
        <w:rPr>
          <w:rFonts w:ascii="Calibri" w:eastAsia="Calibri" w:hAnsi="Calibri" w:cs="Calibri"/>
          <w:color w:val="000000" w:themeColor="text1"/>
          <w:lang w:val="de-DE"/>
        </w:rPr>
        <w:t>n Kapitel 7.9 wird Folgendes zu den während des Audits interviewten Personen festgelegt:</w:t>
      </w:r>
      <w:r w:rsidR="30FC908B" w:rsidRPr="048784BE">
        <w:rPr>
          <w:lang w:val="de-DE"/>
        </w:rPr>
        <w:t xml:space="preserve"> </w:t>
      </w:r>
    </w:p>
    <w:p w14:paraId="0EC10CC6" w14:textId="55BB0766" w:rsidR="048784BE" w:rsidRDefault="048784BE" w:rsidP="048784BE">
      <w:pPr>
        <w:spacing w:after="0"/>
        <w:rPr>
          <w:lang w:val="de-DE"/>
        </w:rPr>
      </w:pPr>
    </w:p>
    <w:p w14:paraId="6937B632" w14:textId="77777777" w:rsidR="00341FE0" w:rsidRPr="00341FE0" w:rsidRDefault="00341FE0" w:rsidP="00341FE0">
      <w:pPr>
        <w:spacing w:after="0"/>
        <w:rPr>
          <w:i/>
          <w:iCs/>
          <w:u w:val="single"/>
          <w:lang w:val="de-DE"/>
        </w:rPr>
      </w:pPr>
      <w:r w:rsidRPr="00341FE0">
        <w:rPr>
          <w:i/>
          <w:iCs/>
          <w:u w:val="single"/>
          <w:lang w:val="de-DE"/>
        </w:rPr>
        <w:t>7.9.1 Allgemeine Vereinbarungen.</w:t>
      </w:r>
    </w:p>
    <w:p w14:paraId="7710B2BA" w14:textId="080DBD7B" w:rsidR="001B4382" w:rsidRPr="00341FE0" w:rsidRDefault="00341FE0" w:rsidP="048784BE">
      <w:pPr>
        <w:spacing w:after="0"/>
        <w:rPr>
          <w:i/>
          <w:iCs/>
          <w:lang w:val="de-DE"/>
        </w:rPr>
      </w:pPr>
      <w:r w:rsidRPr="048784BE">
        <w:rPr>
          <w:i/>
          <w:iCs/>
          <w:lang w:val="de-DE"/>
        </w:rPr>
        <w:t xml:space="preserve">Der Auditbericht muss mindestens die Ergebnisse der Anforderungen aus dem SCL wiedergeben und angeben, </w:t>
      </w:r>
      <w:r w:rsidR="00233AA3" w:rsidRPr="048784BE">
        <w:rPr>
          <w:i/>
          <w:iCs/>
          <w:lang w:val="de-DE"/>
        </w:rPr>
        <w:t xml:space="preserve">auf welcher Stufe </w:t>
      </w:r>
      <w:r w:rsidRPr="048784BE">
        <w:rPr>
          <w:i/>
          <w:iCs/>
          <w:lang w:val="de-DE"/>
        </w:rPr>
        <w:t xml:space="preserve">auditiert wurde. </w:t>
      </w:r>
      <w:r w:rsidR="454F8F90" w:rsidRPr="048784BE">
        <w:rPr>
          <w:rFonts w:ascii="Calibri" w:eastAsia="Calibri" w:hAnsi="Calibri" w:cs="Calibri"/>
          <w:i/>
          <w:iCs/>
          <w:color w:val="000000" w:themeColor="text1"/>
          <w:lang w:val="de-DE"/>
        </w:rPr>
        <w:t>Die Namen der befragten Personen sind im Auditbericht aufzuführen, jedoch dürfen ihre Aussagen nicht auf sie zurückführbar sein.</w:t>
      </w:r>
      <w:r w:rsidR="0077175F" w:rsidRPr="048784BE">
        <w:rPr>
          <w:i/>
          <w:iCs/>
          <w:lang w:val="de-DE"/>
        </w:rPr>
        <w:t>’</w:t>
      </w:r>
    </w:p>
    <w:p w14:paraId="23F46D19" w14:textId="77777777" w:rsidR="001B4382" w:rsidRPr="00341FE0" w:rsidRDefault="001B4382" w:rsidP="00BB58E0">
      <w:pPr>
        <w:spacing w:after="0"/>
        <w:rPr>
          <w:lang w:val="de-DE"/>
        </w:rPr>
      </w:pPr>
    </w:p>
    <w:p w14:paraId="6C1AA64F" w14:textId="0E72900A" w:rsidR="00F020E6" w:rsidRPr="00B060DB" w:rsidRDefault="00B060DB" w:rsidP="00B060DB">
      <w:pPr>
        <w:spacing w:after="0"/>
        <w:rPr>
          <w:lang w:val="de-DE"/>
        </w:rPr>
      </w:pPr>
      <w:r w:rsidRPr="00B060DB">
        <w:rPr>
          <w:lang w:val="de-DE"/>
        </w:rPr>
        <w:t>Das Harmonisierungs</w:t>
      </w:r>
      <w:r w:rsidR="00E17638">
        <w:rPr>
          <w:lang w:val="de-DE"/>
        </w:rPr>
        <w:t>treffen</w:t>
      </w:r>
      <w:r w:rsidRPr="00B060DB">
        <w:rPr>
          <w:lang w:val="de-DE"/>
        </w:rPr>
        <w:t xml:space="preserve"> der Zertifizierungsstellen (ZS) hat dem </w:t>
      </w:r>
      <w:r w:rsidR="009B6B65">
        <w:rPr>
          <w:lang w:val="de-DE"/>
        </w:rPr>
        <w:t>Expertenausschuss</w:t>
      </w:r>
      <w:r w:rsidRPr="00B060DB">
        <w:rPr>
          <w:lang w:val="de-DE"/>
        </w:rPr>
        <w:t xml:space="preserve"> SCL mitgeteilt, dass die inhaltliche Berichterstattung oft direkt auf einzelne Personen zurückführbar ist, da Namen in der Berichterstattung genannt werden müssen. Dies wird als unerwünschte Situation angesehen. Die </w:t>
      </w:r>
      <w:r w:rsidR="00612C95">
        <w:rPr>
          <w:lang w:val="de-DE"/>
        </w:rPr>
        <w:t xml:space="preserve">ZS </w:t>
      </w:r>
      <w:r w:rsidRPr="00B060DB">
        <w:rPr>
          <w:lang w:val="de-DE"/>
        </w:rPr>
        <w:t>möchte in jedem Einzelfall entscheiden können, wie sie mit der Nennung von Namen umgeht</w:t>
      </w:r>
      <w:r w:rsidR="00BB58E0" w:rsidRPr="00B060DB">
        <w:rPr>
          <w:lang w:val="de-DE"/>
        </w:rPr>
        <w:t>.</w:t>
      </w:r>
    </w:p>
    <w:p w14:paraId="1FA692FD" w14:textId="77777777" w:rsidR="00BB58E0" w:rsidRPr="00B060DB" w:rsidRDefault="00BB58E0" w:rsidP="00091459">
      <w:pPr>
        <w:spacing w:after="0"/>
        <w:rPr>
          <w:lang w:val="de-DE"/>
        </w:rPr>
      </w:pPr>
    </w:p>
    <w:p w14:paraId="6F4A4993" w14:textId="0390BC5A" w:rsidR="00B11739" w:rsidRPr="00F42B9D" w:rsidRDefault="00F42B9D" w:rsidP="00B11739">
      <w:pPr>
        <w:spacing w:after="0"/>
        <w:rPr>
          <w:color w:val="009691"/>
          <w:lang w:val="de-DE"/>
        </w:rPr>
      </w:pPr>
      <w:r w:rsidRPr="048784BE">
        <w:rPr>
          <w:color w:val="009691"/>
          <w:lang w:val="de-DE"/>
        </w:rPr>
        <w:t>Überlegung</w:t>
      </w:r>
      <w:r w:rsidR="00673DB9" w:rsidRPr="048784BE">
        <w:rPr>
          <w:color w:val="009691"/>
          <w:lang w:val="de-DE"/>
        </w:rPr>
        <w:t>:</w:t>
      </w:r>
    </w:p>
    <w:p w14:paraId="0F2BC2E9" w14:textId="262B3A54" w:rsidR="000D0410" w:rsidRPr="00F42B9D" w:rsidRDefault="16EA5430" w:rsidP="00091459">
      <w:pPr>
        <w:spacing w:after="0"/>
        <w:rPr>
          <w:lang w:val="de-DE"/>
        </w:rPr>
      </w:pPr>
      <w:r w:rsidRPr="048784BE">
        <w:rPr>
          <w:rFonts w:ascii="Calibri" w:eastAsia="Calibri" w:hAnsi="Calibri" w:cs="Calibri"/>
          <w:color w:val="000000" w:themeColor="text1"/>
          <w:lang w:val="de-DE"/>
        </w:rPr>
        <w:t>Die Mitglieder des Expertenausschusses sind der Ansicht, dass sich jeder Befragte während des Gesprächs frei fühlen sollte, seine Ansichten offen zu äußern.</w:t>
      </w:r>
      <w:r w:rsidR="00F42B9D" w:rsidRPr="048784BE">
        <w:rPr>
          <w:lang w:val="de-DE"/>
        </w:rPr>
        <w:t xml:space="preserve"> Dies ist wesentlich für die Qualität der Prüfung</w:t>
      </w:r>
      <w:r w:rsidR="00960B52" w:rsidRPr="048784BE">
        <w:rPr>
          <w:lang w:val="de-DE"/>
        </w:rPr>
        <w:t>.</w:t>
      </w:r>
    </w:p>
    <w:p w14:paraId="00A3E33E" w14:textId="77777777" w:rsidR="000D0410" w:rsidRPr="00F42B9D" w:rsidRDefault="000D0410" w:rsidP="00091459">
      <w:pPr>
        <w:spacing w:after="0"/>
        <w:rPr>
          <w:lang w:val="de-DE"/>
        </w:rPr>
      </w:pPr>
    </w:p>
    <w:p w14:paraId="36622EBC" w14:textId="08B8658F" w:rsidR="00A46721" w:rsidRPr="00971A8D" w:rsidRDefault="00971A8D" w:rsidP="00A46721">
      <w:pPr>
        <w:spacing w:after="0"/>
        <w:rPr>
          <w:color w:val="009691"/>
          <w:lang w:val="de-DE"/>
        </w:rPr>
      </w:pPr>
      <w:r>
        <w:rPr>
          <w:color w:val="009691"/>
          <w:lang w:val="de-DE"/>
        </w:rPr>
        <w:t>Beschluss</w:t>
      </w:r>
      <w:r w:rsidR="00A46721" w:rsidRPr="00971A8D">
        <w:rPr>
          <w:color w:val="009691"/>
          <w:lang w:val="de-DE"/>
        </w:rPr>
        <w:t>:</w:t>
      </w:r>
    </w:p>
    <w:p w14:paraId="1378942C" w14:textId="43B83A15" w:rsidR="00971A8D" w:rsidRDefault="00971A8D" w:rsidP="00971A8D">
      <w:pPr>
        <w:spacing w:after="0"/>
        <w:rPr>
          <w:lang w:val="de-DE"/>
        </w:rPr>
      </w:pPr>
      <w:r w:rsidRPr="00971A8D">
        <w:rPr>
          <w:lang w:val="de-DE"/>
        </w:rPr>
        <w:t xml:space="preserve">Der </w:t>
      </w:r>
      <w:r w:rsidR="009B6B65">
        <w:rPr>
          <w:lang w:val="de-DE"/>
        </w:rPr>
        <w:t>Expertenausschuss</w:t>
      </w:r>
      <w:r w:rsidRPr="00971A8D">
        <w:rPr>
          <w:lang w:val="de-DE"/>
        </w:rPr>
        <w:t xml:space="preserve"> SCL hat folgenden Beschluss gefasst:</w:t>
      </w:r>
    </w:p>
    <w:p w14:paraId="6CE69852" w14:textId="77777777" w:rsidR="00971A8D" w:rsidRPr="00971A8D" w:rsidRDefault="00971A8D" w:rsidP="00971A8D">
      <w:pPr>
        <w:spacing w:after="0"/>
        <w:rPr>
          <w:lang w:val="de-DE"/>
        </w:rPr>
      </w:pPr>
    </w:p>
    <w:p w14:paraId="13D919A7" w14:textId="04EA5956" w:rsidR="00971A8D" w:rsidRPr="00971A8D" w:rsidRDefault="00971A8D" w:rsidP="00971A8D">
      <w:pPr>
        <w:spacing w:after="0"/>
        <w:rPr>
          <w:lang w:val="de-DE"/>
        </w:rPr>
      </w:pPr>
      <w:r w:rsidRPr="048784BE">
        <w:rPr>
          <w:lang w:val="de-DE"/>
        </w:rPr>
        <w:t xml:space="preserve">Der </w:t>
      </w:r>
      <w:r w:rsidR="009B6B65" w:rsidRPr="048784BE">
        <w:rPr>
          <w:lang w:val="de-DE"/>
        </w:rPr>
        <w:t>Expertenausschuss</w:t>
      </w:r>
      <w:r w:rsidRPr="048784BE">
        <w:rPr>
          <w:lang w:val="de-DE"/>
        </w:rPr>
        <w:t xml:space="preserve"> stimmt dem Vorschlag des Harmonisierungstreffens zu, die Namen der Interviewten nicht in die Auditberichterstattung aufzunehmen.</w:t>
      </w:r>
      <w:r>
        <w:br/>
      </w:r>
      <w:r w:rsidR="1CF56FC9" w:rsidRPr="048784BE">
        <w:rPr>
          <w:rFonts w:ascii="Calibri" w:eastAsia="Calibri" w:hAnsi="Calibri" w:cs="Calibri"/>
          <w:color w:val="000000" w:themeColor="text1"/>
        </w:rPr>
        <w:t>Die Begründung des Harmonisierungstreffens, wonach es unerwünscht ist, dass die inhaltliche Berichterstattung oft direkt auf Personen zurückführbar ist, wird unterstützt.</w:t>
      </w:r>
      <w:r w:rsidR="1CF56FC9" w:rsidRPr="048784BE">
        <w:rPr>
          <w:lang w:val="de-DE"/>
        </w:rPr>
        <w:t xml:space="preserve"> </w:t>
      </w:r>
    </w:p>
    <w:p w14:paraId="2016A7F7" w14:textId="131CD937" w:rsidR="00982652" w:rsidRPr="00971A8D" w:rsidRDefault="00982652" w:rsidP="00982652">
      <w:pPr>
        <w:spacing w:after="0"/>
        <w:rPr>
          <w:lang w:val="de-DE"/>
        </w:rPr>
      </w:pPr>
    </w:p>
    <w:p w14:paraId="33ED697B" w14:textId="77777777" w:rsidR="00AB739C" w:rsidRPr="00971A8D" w:rsidRDefault="00AB739C" w:rsidP="00205DDA">
      <w:pPr>
        <w:spacing w:after="0"/>
        <w:ind w:left="1134" w:hanging="1134"/>
        <w:rPr>
          <w:lang w:val="de-DE"/>
        </w:rPr>
      </w:pPr>
    </w:p>
    <w:p w14:paraId="7A2C411A" w14:textId="77777777" w:rsidR="00AB739C" w:rsidRPr="00971A8D" w:rsidRDefault="00AB739C" w:rsidP="00205DDA">
      <w:pPr>
        <w:spacing w:after="0"/>
        <w:ind w:left="1134" w:hanging="1134"/>
        <w:rPr>
          <w:lang w:val="de-DE"/>
        </w:rPr>
      </w:pPr>
    </w:p>
    <w:p w14:paraId="0A284A4D" w14:textId="77777777" w:rsidR="00AB739C" w:rsidRPr="00971A8D" w:rsidRDefault="00AB739C" w:rsidP="00205DDA">
      <w:pPr>
        <w:spacing w:after="0"/>
        <w:ind w:left="1134" w:hanging="1134"/>
        <w:rPr>
          <w:lang w:val="de-DE"/>
        </w:rPr>
      </w:pPr>
    </w:p>
    <w:p w14:paraId="77E58B7A" w14:textId="77777777" w:rsidR="00AB739C" w:rsidRPr="00971A8D" w:rsidRDefault="00AB739C" w:rsidP="00205DDA">
      <w:pPr>
        <w:spacing w:after="0"/>
        <w:ind w:left="1134" w:hanging="1134"/>
        <w:rPr>
          <w:lang w:val="de-DE"/>
        </w:rPr>
      </w:pPr>
    </w:p>
    <w:p w14:paraId="66CE3677" w14:textId="77777777" w:rsidR="00AB739C" w:rsidRPr="00971A8D" w:rsidRDefault="00AB739C" w:rsidP="00205DDA">
      <w:pPr>
        <w:spacing w:after="0"/>
        <w:ind w:left="1134" w:hanging="1134"/>
        <w:rPr>
          <w:lang w:val="de-DE"/>
        </w:rPr>
      </w:pPr>
    </w:p>
    <w:p w14:paraId="5B22A9E2" w14:textId="77777777" w:rsidR="00B061A9" w:rsidRPr="00971A8D" w:rsidRDefault="00B061A9" w:rsidP="00091459">
      <w:pPr>
        <w:spacing w:after="0"/>
        <w:rPr>
          <w:lang w:val="de-DE"/>
        </w:rPr>
      </w:pPr>
    </w:p>
    <w:sectPr w:rsidR="00B061A9" w:rsidRPr="00971A8D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26B1B" w14:textId="77777777" w:rsidR="00D046DB" w:rsidRDefault="00D046DB" w:rsidP="00CD0A9F">
      <w:pPr>
        <w:spacing w:after="0" w:line="240" w:lineRule="auto"/>
      </w:pPr>
      <w:r>
        <w:separator/>
      </w:r>
    </w:p>
  </w:endnote>
  <w:endnote w:type="continuationSeparator" w:id="0">
    <w:p w14:paraId="7937E7FC" w14:textId="77777777" w:rsidR="00D046DB" w:rsidRDefault="00D046DB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E220A" w14:textId="77777777" w:rsidR="00451D42" w:rsidRDefault="00451D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17E23" w14:textId="77777777" w:rsidR="00451D42" w:rsidRDefault="00451D4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48ADC" w14:textId="77777777" w:rsidR="00451D42" w:rsidRDefault="00451D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0D68A" w14:textId="77777777" w:rsidR="00D046DB" w:rsidRDefault="00D046DB" w:rsidP="00CD0A9F">
      <w:pPr>
        <w:spacing w:after="0" w:line="240" w:lineRule="auto"/>
      </w:pPr>
      <w:r>
        <w:separator/>
      </w:r>
    </w:p>
  </w:footnote>
  <w:footnote w:type="continuationSeparator" w:id="0">
    <w:p w14:paraId="278AC002" w14:textId="77777777" w:rsidR="00D046DB" w:rsidRDefault="00D046DB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6C5A" w14:textId="77777777" w:rsidR="00451D42" w:rsidRDefault="00451D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513E2C39" w:rsidR="008D3B63" w:rsidRDefault="00451D42" w:rsidP="00872908">
    <w:pPr>
      <w:pStyle w:val="Koptekst"/>
      <w:jc w:val="right"/>
    </w:pPr>
    <w:r>
      <w:rPr>
        <w:noProof/>
      </w:rPr>
      <w:drawing>
        <wp:inline distT="0" distB="0" distL="0" distR="0" wp14:anchorId="5933657D" wp14:editId="23C963FF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2BB1F" w14:textId="77777777" w:rsidR="00451D42" w:rsidRDefault="00451D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42B5"/>
    <w:rsid w:val="00045DE0"/>
    <w:rsid w:val="00047508"/>
    <w:rsid w:val="00056509"/>
    <w:rsid w:val="00065784"/>
    <w:rsid w:val="000671A9"/>
    <w:rsid w:val="000714FD"/>
    <w:rsid w:val="0008716C"/>
    <w:rsid w:val="00091459"/>
    <w:rsid w:val="000A2487"/>
    <w:rsid w:val="000B7A8E"/>
    <w:rsid w:val="000C4886"/>
    <w:rsid w:val="000D0410"/>
    <w:rsid w:val="000E2459"/>
    <w:rsid w:val="000F4268"/>
    <w:rsid w:val="00105F3A"/>
    <w:rsid w:val="00132DAD"/>
    <w:rsid w:val="00146DA0"/>
    <w:rsid w:val="00153B20"/>
    <w:rsid w:val="00153D65"/>
    <w:rsid w:val="00163232"/>
    <w:rsid w:val="001668FA"/>
    <w:rsid w:val="001839C1"/>
    <w:rsid w:val="00193A5A"/>
    <w:rsid w:val="00196429"/>
    <w:rsid w:val="00197194"/>
    <w:rsid w:val="001B4382"/>
    <w:rsid w:val="001C1707"/>
    <w:rsid w:val="001C42FF"/>
    <w:rsid w:val="00203334"/>
    <w:rsid w:val="002037F6"/>
    <w:rsid w:val="00205DDA"/>
    <w:rsid w:val="00210AFE"/>
    <w:rsid w:val="00230FC5"/>
    <w:rsid w:val="00233AA3"/>
    <w:rsid w:val="00251628"/>
    <w:rsid w:val="00256583"/>
    <w:rsid w:val="002635C3"/>
    <w:rsid w:val="0026493F"/>
    <w:rsid w:val="00266EC5"/>
    <w:rsid w:val="00276494"/>
    <w:rsid w:val="00281793"/>
    <w:rsid w:val="00293599"/>
    <w:rsid w:val="00294573"/>
    <w:rsid w:val="00294D88"/>
    <w:rsid w:val="002A58E4"/>
    <w:rsid w:val="002B0093"/>
    <w:rsid w:val="002B074C"/>
    <w:rsid w:val="002C539C"/>
    <w:rsid w:val="002E1D8E"/>
    <w:rsid w:val="002E3E33"/>
    <w:rsid w:val="002F744C"/>
    <w:rsid w:val="003058C1"/>
    <w:rsid w:val="00313C04"/>
    <w:rsid w:val="00320AC6"/>
    <w:rsid w:val="00325DDF"/>
    <w:rsid w:val="003273BB"/>
    <w:rsid w:val="00330173"/>
    <w:rsid w:val="00341FE0"/>
    <w:rsid w:val="00342B84"/>
    <w:rsid w:val="00347EC1"/>
    <w:rsid w:val="00355A3A"/>
    <w:rsid w:val="00371D6D"/>
    <w:rsid w:val="003829AC"/>
    <w:rsid w:val="00387865"/>
    <w:rsid w:val="003A4134"/>
    <w:rsid w:val="003B21CB"/>
    <w:rsid w:val="003D18B6"/>
    <w:rsid w:val="003D6B29"/>
    <w:rsid w:val="003E2C3A"/>
    <w:rsid w:val="003E77D5"/>
    <w:rsid w:val="004153F6"/>
    <w:rsid w:val="0043186F"/>
    <w:rsid w:val="00450501"/>
    <w:rsid w:val="00450ED9"/>
    <w:rsid w:val="00451D42"/>
    <w:rsid w:val="0045253C"/>
    <w:rsid w:val="00455AE9"/>
    <w:rsid w:val="00460560"/>
    <w:rsid w:val="004647FE"/>
    <w:rsid w:val="00464E07"/>
    <w:rsid w:val="00491530"/>
    <w:rsid w:val="004A23C6"/>
    <w:rsid w:val="004A30C6"/>
    <w:rsid w:val="004D0CE9"/>
    <w:rsid w:val="004D4A20"/>
    <w:rsid w:val="004E7747"/>
    <w:rsid w:val="004F7A47"/>
    <w:rsid w:val="0051345D"/>
    <w:rsid w:val="0051510C"/>
    <w:rsid w:val="00531408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D2336"/>
    <w:rsid w:val="005D537D"/>
    <w:rsid w:val="005E44E0"/>
    <w:rsid w:val="005F13D3"/>
    <w:rsid w:val="005F151B"/>
    <w:rsid w:val="005F187A"/>
    <w:rsid w:val="005F572F"/>
    <w:rsid w:val="00601AE7"/>
    <w:rsid w:val="00602187"/>
    <w:rsid w:val="00606899"/>
    <w:rsid w:val="006112E6"/>
    <w:rsid w:val="00611F3E"/>
    <w:rsid w:val="00612C95"/>
    <w:rsid w:val="00617ABE"/>
    <w:rsid w:val="00617DC9"/>
    <w:rsid w:val="0062733D"/>
    <w:rsid w:val="00634873"/>
    <w:rsid w:val="00635016"/>
    <w:rsid w:val="00652FAA"/>
    <w:rsid w:val="0066011A"/>
    <w:rsid w:val="00667F97"/>
    <w:rsid w:val="00673DB9"/>
    <w:rsid w:val="006766ED"/>
    <w:rsid w:val="006766F6"/>
    <w:rsid w:val="00682791"/>
    <w:rsid w:val="0069011E"/>
    <w:rsid w:val="006916DD"/>
    <w:rsid w:val="00693692"/>
    <w:rsid w:val="006A1EF8"/>
    <w:rsid w:val="006B5094"/>
    <w:rsid w:val="006C5EEB"/>
    <w:rsid w:val="006E2356"/>
    <w:rsid w:val="006E3FF0"/>
    <w:rsid w:val="006E7B1B"/>
    <w:rsid w:val="006F4C4A"/>
    <w:rsid w:val="00711101"/>
    <w:rsid w:val="0072172B"/>
    <w:rsid w:val="00723977"/>
    <w:rsid w:val="00741BFC"/>
    <w:rsid w:val="00757752"/>
    <w:rsid w:val="0077175F"/>
    <w:rsid w:val="00780B3D"/>
    <w:rsid w:val="007832B3"/>
    <w:rsid w:val="00783320"/>
    <w:rsid w:val="007A3966"/>
    <w:rsid w:val="007B6F2E"/>
    <w:rsid w:val="007D49A1"/>
    <w:rsid w:val="007E0653"/>
    <w:rsid w:val="007E22DA"/>
    <w:rsid w:val="007F23D8"/>
    <w:rsid w:val="007F4010"/>
    <w:rsid w:val="007F647D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B63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1A8D"/>
    <w:rsid w:val="009776B9"/>
    <w:rsid w:val="00982652"/>
    <w:rsid w:val="00983CC3"/>
    <w:rsid w:val="009B020E"/>
    <w:rsid w:val="009B6B65"/>
    <w:rsid w:val="009C270F"/>
    <w:rsid w:val="009F0A8B"/>
    <w:rsid w:val="00A06064"/>
    <w:rsid w:val="00A07702"/>
    <w:rsid w:val="00A15DE6"/>
    <w:rsid w:val="00A20E49"/>
    <w:rsid w:val="00A212F8"/>
    <w:rsid w:val="00A347A6"/>
    <w:rsid w:val="00A43260"/>
    <w:rsid w:val="00A4357A"/>
    <w:rsid w:val="00A46721"/>
    <w:rsid w:val="00A57E4B"/>
    <w:rsid w:val="00A811C2"/>
    <w:rsid w:val="00A858AC"/>
    <w:rsid w:val="00A94629"/>
    <w:rsid w:val="00A94F0C"/>
    <w:rsid w:val="00AA7AD9"/>
    <w:rsid w:val="00AB167B"/>
    <w:rsid w:val="00AB1B2F"/>
    <w:rsid w:val="00AB6337"/>
    <w:rsid w:val="00AB739C"/>
    <w:rsid w:val="00AC0CB9"/>
    <w:rsid w:val="00AD6680"/>
    <w:rsid w:val="00AF2A05"/>
    <w:rsid w:val="00AF480D"/>
    <w:rsid w:val="00B0435D"/>
    <w:rsid w:val="00B060DB"/>
    <w:rsid w:val="00B061A9"/>
    <w:rsid w:val="00B11739"/>
    <w:rsid w:val="00B14D40"/>
    <w:rsid w:val="00B22857"/>
    <w:rsid w:val="00B25961"/>
    <w:rsid w:val="00B25DB8"/>
    <w:rsid w:val="00B30031"/>
    <w:rsid w:val="00B3518B"/>
    <w:rsid w:val="00B40FF3"/>
    <w:rsid w:val="00B42C33"/>
    <w:rsid w:val="00B55E69"/>
    <w:rsid w:val="00BA31CB"/>
    <w:rsid w:val="00BB58E0"/>
    <w:rsid w:val="00BC3040"/>
    <w:rsid w:val="00BC3AE7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43CF"/>
    <w:rsid w:val="00C356BE"/>
    <w:rsid w:val="00C41C7D"/>
    <w:rsid w:val="00C535BF"/>
    <w:rsid w:val="00C570AF"/>
    <w:rsid w:val="00C61C0E"/>
    <w:rsid w:val="00C62B99"/>
    <w:rsid w:val="00C76E25"/>
    <w:rsid w:val="00C82F7D"/>
    <w:rsid w:val="00C858D5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046DB"/>
    <w:rsid w:val="00D216A6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E3A9A"/>
    <w:rsid w:val="00DE7A81"/>
    <w:rsid w:val="00DF41B2"/>
    <w:rsid w:val="00E00DBB"/>
    <w:rsid w:val="00E17638"/>
    <w:rsid w:val="00E203A8"/>
    <w:rsid w:val="00E27A2F"/>
    <w:rsid w:val="00E315A1"/>
    <w:rsid w:val="00E34DEA"/>
    <w:rsid w:val="00E43700"/>
    <w:rsid w:val="00E65B45"/>
    <w:rsid w:val="00E66F92"/>
    <w:rsid w:val="00E73D0B"/>
    <w:rsid w:val="00E944FE"/>
    <w:rsid w:val="00EB33E4"/>
    <w:rsid w:val="00EC1701"/>
    <w:rsid w:val="00EC6E1E"/>
    <w:rsid w:val="00ED3FCA"/>
    <w:rsid w:val="00ED689B"/>
    <w:rsid w:val="00EE21BA"/>
    <w:rsid w:val="00EF2143"/>
    <w:rsid w:val="00EF4097"/>
    <w:rsid w:val="00F020E6"/>
    <w:rsid w:val="00F118C4"/>
    <w:rsid w:val="00F250BF"/>
    <w:rsid w:val="00F277B1"/>
    <w:rsid w:val="00F30F9B"/>
    <w:rsid w:val="00F32982"/>
    <w:rsid w:val="00F42B9D"/>
    <w:rsid w:val="00F44243"/>
    <w:rsid w:val="00F4450F"/>
    <w:rsid w:val="00F455A3"/>
    <w:rsid w:val="00F4796B"/>
    <w:rsid w:val="00F52DE9"/>
    <w:rsid w:val="00F53CC6"/>
    <w:rsid w:val="00F64814"/>
    <w:rsid w:val="00F721ED"/>
    <w:rsid w:val="00F86299"/>
    <w:rsid w:val="00F876EC"/>
    <w:rsid w:val="00F93FD2"/>
    <w:rsid w:val="00FA3118"/>
    <w:rsid w:val="00FA6B79"/>
    <w:rsid w:val="00FB4035"/>
    <w:rsid w:val="00FC6736"/>
    <w:rsid w:val="00FD0A79"/>
    <w:rsid w:val="00FD448E"/>
    <w:rsid w:val="00FE212E"/>
    <w:rsid w:val="00FE366B"/>
    <w:rsid w:val="00FF1D0C"/>
    <w:rsid w:val="02ED2933"/>
    <w:rsid w:val="048784BE"/>
    <w:rsid w:val="16EA5430"/>
    <w:rsid w:val="1CF56FC9"/>
    <w:rsid w:val="28EB8F91"/>
    <w:rsid w:val="30FC908B"/>
    <w:rsid w:val="454F8F90"/>
    <w:rsid w:val="4C11E66E"/>
    <w:rsid w:val="5E4F8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TaxCatchAll xmlns="0aa5b8dd-10c7-4ace-84a3-8edf5dd86461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0A75F-1063-4F9A-BB90-50D65C7698C0}">
  <ds:schemaRefs>
    <ds:schemaRef ds:uri="http://purl.org/dc/dcmitype/"/>
    <ds:schemaRef ds:uri="http://purl.org/dc/terms/"/>
    <ds:schemaRef ds:uri="http://purl.org/dc/elements/1.1/"/>
    <ds:schemaRef ds:uri="8c759bf6-42e2-4be2-8076-ca901ae762be"/>
    <ds:schemaRef ds:uri="0aa5b8dd-10c7-4ace-84a3-8edf5dd8646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8BB541-2ED8-4263-8793-0C5B7F7D5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1568</Characters>
  <Application>Microsoft Office Word</Application>
  <DocSecurity>0</DocSecurity>
  <Lines>13</Lines>
  <Paragraphs>3</Paragraphs>
  <ScaleCrop>false</ScaleCrop>
  <Company>TenneT TSO B.V.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39</cp:revision>
  <cp:lastPrinted>2023-07-03T11:15:00Z</cp:lastPrinted>
  <dcterms:created xsi:type="dcterms:W3CDTF">2024-11-29T11:45:00Z</dcterms:created>
  <dcterms:modified xsi:type="dcterms:W3CDTF">2025-03-07T07:17:00Z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