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228"/>
        <w:gridCol w:w="2544"/>
        <w:gridCol w:w="2430"/>
        <w:gridCol w:w="2032"/>
      </w:tblGrid>
      <w:tr w:rsidR="00872908" w:rsidRPr="00611659" w14:paraId="233EE6D3" w14:textId="77777777" w:rsidTr="00D94BE8">
        <w:tc>
          <w:tcPr>
            <w:tcW w:w="9234" w:type="dxa"/>
            <w:gridSpan w:val="4"/>
            <w:tcMar>
              <w:top w:w="113" w:type="dxa"/>
            </w:tcMar>
          </w:tcPr>
          <w:p w14:paraId="45889167" w14:textId="77777777" w:rsidR="00872908" w:rsidRPr="00047508" w:rsidRDefault="00872908" w:rsidP="00872908">
            <w:pPr>
              <w:rPr>
                <w:rFonts w:ascii="Arial" w:hAnsi="Arial" w:cs="Arial"/>
                <w:b/>
                <w:bCs/>
                <w:sz w:val="20"/>
                <w:szCs w:val="20"/>
              </w:rPr>
            </w:pPr>
            <w:r w:rsidRPr="00047508">
              <w:rPr>
                <w:rFonts w:ascii="Arial" w:hAnsi="Arial" w:cs="Arial"/>
                <w:b/>
                <w:bCs/>
                <w:sz w:val="20"/>
                <w:szCs w:val="20"/>
              </w:rPr>
              <w:t>Safety Culture Ladder NEN</w:t>
            </w:r>
          </w:p>
        </w:tc>
      </w:tr>
      <w:tr w:rsidR="00872908" w:rsidRPr="00611659" w14:paraId="1C109162" w14:textId="77777777" w:rsidTr="00D94BE8">
        <w:tc>
          <w:tcPr>
            <w:tcW w:w="2235" w:type="dxa"/>
            <w:tcMar>
              <w:top w:w="113" w:type="dxa"/>
            </w:tcMar>
          </w:tcPr>
          <w:p w14:paraId="3F29EE4A" w14:textId="77777777" w:rsidR="00872908" w:rsidRPr="00047508" w:rsidRDefault="00872908" w:rsidP="00872908">
            <w:pPr>
              <w:rPr>
                <w:rFonts w:ascii="Arial" w:hAnsi="Arial" w:cs="Arial"/>
                <w:sz w:val="20"/>
                <w:szCs w:val="20"/>
              </w:rPr>
            </w:pPr>
            <w:r w:rsidRPr="00047508">
              <w:rPr>
                <w:rFonts w:ascii="Arial" w:hAnsi="Arial" w:cs="Arial"/>
                <w:sz w:val="20"/>
                <w:szCs w:val="20"/>
              </w:rPr>
              <w:t>Besluitnummer:</w:t>
            </w:r>
          </w:p>
        </w:tc>
        <w:tc>
          <w:tcPr>
            <w:tcW w:w="2552" w:type="dxa"/>
            <w:tcMar>
              <w:top w:w="113" w:type="dxa"/>
            </w:tcMar>
          </w:tcPr>
          <w:p w14:paraId="46A76B38" w14:textId="2A9B6D0B" w:rsidR="00872908" w:rsidRPr="00047508" w:rsidRDefault="00872908" w:rsidP="00872908">
            <w:pPr>
              <w:rPr>
                <w:rFonts w:ascii="Arial" w:hAnsi="Arial" w:cs="Arial"/>
                <w:sz w:val="20"/>
                <w:szCs w:val="20"/>
              </w:rPr>
            </w:pPr>
            <w:r w:rsidRPr="00047508">
              <w:rPr>
                <w:rFonts w:ascii="Arial" w:hAnsi="Arial" w:cs="Arial"/>
                <w:sz w:val="20"/>
                <w:szCs w:val="20"/>
              </w:rPr>
              <w:t>202</w:t>
            </w:r>
            <w:r w:rsidR="0072172B">
              <w:rPr>
                <w:rFonts w:ascii="Arial" w:hAnsi="Arial" w:cs="Arial"/>
                <w:sz w:val="20"/>
                <w:szCs w:val="20"/>
              </w:rPr>
              <w:t>3</w:t>
            </w:r>
            <w:r w:rsidRPr="00047508">
              <w:rPr>
                <w:rFonts w:ascii="Arial" w:hAnsi="Arial" w:cs="Arial"/>
                <w:sz w:val="20"/>
                <w:szCs w:val="20"/>
              </w:rPr>
              <w:t>-</w:t>
            </w:r>
            <w:r w:rsidR="00FC782C">
              <w:rPr>
                <w:rFonts w:ascii="Arial" w:hAnsi="Arial" w:cs="Arial"/>
                <w:sz w:val="20"/>
                <w:szCs w:val="20"/>
              </w:rPr>
              <w:t>1</w:t>
            </w:r>
            <w:r w:rsidR="00C57C13">
              <w:rPr>
                <w:rFonts w:ascii="Arial" w:hAnsi="Arial" w:cs="Arial"/>
                <w:sz w:val="20"/>
                <w:szCs w:val="20"/>
              </w:rPr>
              <w:t>4</w:t>
            </w:r>
          </w:p>
        </w:tc>
        <w:tc>
          <w:tcPr>
            <w:tcW w:w="2409" w:type="dxa"/>
            <w:tcMar>
              <w:top w:w="113" w:type="dxa"/>
            </w:tcMar>
          </w:tcPr>
          <w:p w14:paraId="1FC9111F" w14:textId="77777777" w:rsidR="00872908" w:rsidRPr="00047508" w:rsidRDefault="00872908" w:rsidP="00872908">
            <w:pPr>
              <w:rPr>
                <w:rFonts w:ascii="Arial" w:hAnsi="Arial" w:cs="Arial"/>
                <w:sz w:val="20"/>
                <w:szCs w:val="20"/>
              </w:rPr>
            </w:pPr>
          </w:p>
        </w:tc>
        <w:tc>
          <w:tcPr>
            <w:tcW w:w="2038" w:type="dxa"/>
            <w:tcMar>
              <w:top w:w="113" w:type="dxa"/>
            </w:tcMar>
          </w:tcPr>
          <w:p w14:paraId="7FA29A90" w14:textId="77777777" w:rsidR="00872908" w:rsidRPr="00047508" w:rsidRDefault="00872908" w:rsidP="00872908">
            <w:pPr>
              <w:rPr>
                <w:rFonts w:ascii="Arial" w:hAnsi="Arial" w:cs="Arial"/>
                <w:sz w:val="20"/>
                <w:szCs w:val="20"/>
              </w:rPr>
            </w:pPr>
          </w:p>
        </w:tc>
      </w:tr>
      <w:tr w:rsidR="00872908" w:rsidRPr="00611659" w14:paraId="389C6995" w14:textId="77777777" w:rsidTr="00D94BE8">
        <w:tc>
          <w:tcPr>
            <w:tcW w:w="2235" w:type="dxa"/>
            <w:tcMar>
              <w:top w:w="113" w:type="dxa"/>
            </w:tcMar>
          </w:tcPr>
          <w:p w14:paraId="42A614DF" w14:textId="77777777" w:rsidR="00872908" w:rsidRPr="00047508" w:rsidRDefault="00872908" w:rsidP="00872908">
            <w:pPr>
              <w:rPr>
                <w:rFonts w:ascii="Arial" w:hAnsi="Arial" w:cs="Arial"/>
                <w:sz w:val="20"/>
                <w:szCs w:val="20"/>
              </w:rPr>
            </w:pPr>
            <w:r w:rsidRPr="00047508">
              <w:rPr>
                <w:rFonts w:ascii="Arial" w:hAnsi="Arial" w:cs="Arial"/>
                <w:sz w:val="20"/>
                <w:szCs w:val="20"/>
              </w:rPr>
              <w:t>Betreft:</w:t>
            </w:r>
          </w:p>
        </w:tc>
        <w:tc>
          <w:tcPr>
            <w:tcW w:w="6999" w:type="dxa"/>
            <w:gridSpan w:val="3"/>
            <w:tcMar>
              <w:top w:w="113" w:type="dxa"/>
            </w:tcMar>
          </w:tcPr>
          <w:p w14:paraId="787B98A8" w14:textId="288852C3" w:rsidR="00872908" w:rsidRPr="00047508" w:rsidRDefault="00C57C13" w:rsidP="00872908">
            <w:pPr>
              <w:rPr>
                <w:rFonts w:ascii="Arial" w:hAnsi="Arial" w:cs="Arial"/>
                <w:sz w:val="20"/>
                <w:szCs w:val="20"/>
              </w:rPr>
            </w:pPr>
            <w:r>
              <w:rPr>
                <w:rFonts w:ascii="Arial" w:hAnsi="Arial" w:cs="Arial"/>
                <w:sz w:val="20"/>
                <w:szCs w:val="20"/>
              </w:rPr>
              <w:t>Meetfout binnen SCL</w:t>
            </w:r>
          </w:p>
        </w:tc>
      </w:tr>
      <w:tr w:rsidR="00872908" w:rsidRPr="00611659" w14:paraId="19149D5E" w14:textId="77777777" w:rsidTr="00D94BE8">
        <w:tc>
          <w:tcPr>
            <w:tcW w:w="2235" w:type="dxa"/>
            <w:tcBorders>
              <w:bottom w:val="single" w:sz="4" w:space="0" w:color="auto"/>
            </w:tcBorders>
            <w:tcMar>
              <w:top w:w="113" w:type="dxa"/>
            </w:tcMar>
          </w:tcPr>
          <w:p w14:paraId="638B390A" w14:textId="77777777" w:rsidR="00872908" w:rsidRPr="00047508" w:rsidRDefault="00872908" w:rsidP="00872908">
            <w:pPr>
              <w:rPr>
                <w:rFonts w:ascii="Arial" w:hAnsi="Arial" w:cs="Arial"/>
                <w:sz w:val="20"/>
                <w:szCs w:val="20"/>
              </w:rPr>
            </w:pPr>
            <w:r w:rsidRPr="00047508">
              <w:rPr>
                <w:rFonts w:ascii="Arial" w:hAnsi="Arial" w:cs="Arial"/>
                <w:sz w:val="20"/>
                <w:szCs w:val="20"/>
              </w:rPr>
              <w:t>Datum:</w:t>
            </w:r>
          </w:p>
        </w:tc>
        <w:tc>
          <w:tcPr>
            <w:tcW w:w="2552" w:type="dxa"/>
            <w:tcBorders>
              <w:bottom w:val="single" w:sz="4" w:space="0" w:color="auto"/>
            </w:tcBorders>
            <w:tcMar>
              <w:top w:w="113" w:type="dxa"/>
            </w:tcMar>
          </w:tcPr>
          <w:p w14:paraId="6F183283" w14:textId="5D4095CC" w:rsidR="00872908" w:rsidRPr="00047508" w:rsidRDefault="00872908" w:rsidP="00872908">
            <w:pPr>
              <w:rPr>
                <w:rFonts w:ascii="Arial" w:hAnsi="Arial" w:cs="Arial"/>
                <w:sz w:val="20"/>
                <w:szCs w:val="20"/>
              </w:rPr>
            </w:pPr>
            <w:r w:rsidRPr="00047508">
              <w:rPr>
                <w:rFonts w:ascii="Arial" w:hAnsi="Arial" w:cs="Arial"/>
                <w:sz w:val="20"/>
                <w:szCs w:val="20"/>
              </w:rPr>
              <w:t>202</w:t>
            </w:r>
            <w:r w:rsidR="00FC782C">
              <w:rPr>
                <w:rFonts w:ascii="Arial" w:hAnsi="Arial" w:cs="Arial"/>
                <w:sz w:val="20"/>
                <w:szCs w:val="20"/>
              </w:rPr>
              <w:t>4</w:t>
            </w:r>
            <w:r w:rsidRPr="00047508">
              <w:rPr>
                <w:rFonts w:ascii="Arial" w:hAnsi="Arial" w:cs="Arial"/>
                <w:sz w:val="20"/>
                <w:szCs w:val="20"/>
              </w:rPr>
              <w:t>-</w:t>
            </w:r>
            <w:r w:rsidR="00585C68">
              <w:rPr>
                <w:rFonts w:ascii="Arial" w:hAnsi="Arial" w:cs="Arial"/>
                <w:sz w:val="20"/>
                <w:szCs w:val="20"/>
              </w:rPr>
              <w:t>0</w:t>
            </w:r>
            <w:r w:rsidR="00C57C13">
              <w:rPr>
                <w:rFonts w:ascii="Arial" w:hAnsi="Arial" w:cs="Arial"/>
                <w:sz w:val="20"/>
                <w:szCs w:val="20"/>
              </w:rPr>
              <w:t>3</w:t>
            </w:r>
            <w:r w:rsidR="007F4010">
              <w:rPr>
                <w:rFonts w:ascii="Arial" w:hAnsi="Arial" w:cs="Arial"/>
                <w:sz w:val="20"/>
                <w:szCs w:val="20"/>
              </w:rPr>
              <w:t>-</w:t>
            </w:r>
            <w:r w:rsidR="00845366">
              <w:rPr>
                <w:rFonts w:ascii="Arial" w:hAnsi="Arial" w:cs="Arial"/>
                <w:sz w:val="20"/>
                <w:szCs w:val="20"/>
              </w:rPr>
              <w:t>0</w:t>
            </w:r>
            <w:r w:rsidR="00FC782C">
              <w:rPr>
                <w:rFonts w:ascii="Arial" w:hAnsi="Arial" w:cs="Arial"/>
                <w:sz w:val="20"/>
                <w:szCs w:val="20"/>
              </w:rPr>
              <w:t>4</w:t>
            </w:r>
          </w:p>
        </w:tc>
        <w:tc>
          <w:tcPr>
            <w:tcW w:w="2409" w:type="dxa"/>
            <w:tcBorders>
              <w:bottom w:val="single" w:sz="4" w:space="0" w:color="auto"/>
            </w:tcBorders>
            <w:tcMar>
              <w:top w:w="113" w:type="dxa"/>
            </w:tcMar>
          </w:tcPr>
          <w:p w14:paraId="0E56AB6D" w14:textId="77777777" w:rsidR="00872908" w:rsidRPr="00047508" w:rsidRDefault="00872908" w:rsidP="00872908">
            <w:pPr>
              <w:rPr>
                <w:rFonts w:ascii="Arial" w:hAnsi="Arial" w:cs="Arial"/>
                <w:sz w:val="20"/>
                <w:szCs w:val="20"/>
              </w:rPr>
            </w:pPr>
          </w:p>
        </w:tc>
        <w:tc>
          <w:tcPr>
            <w:tcW w:w="2038" w:type="dxa"/>
            <w:tcBorders>
              <w:bottom w:val="single" w:sz="4" w:space="0" w:color="auto"/>
            </w:tcBorders>
            <w:tcMar>
              <w:top w:w="113" w:type="dxa"/>
            </w:tcMar>
          </w:tcPr>
          <w:p w14:paraId="2DFB345D" w14:textId="77777777" w:rsidR="00872908" w:rsidRPr="00047508" w:rsidRDefault="00872908" w:rsidP="00872908">
            <w:pPr>
              <w:rPr>
                <w:rFonts w:ascii="Arial" w:hAnsi="Arial" w:cs="Arial"/>
                <w:sz w:val="20"/>
                <w:szCs w:val="20"/>
              </w:rPr>
            </w:pPr>
          </w:p>
        </w:tc>
      </w:tr>
      <w:tr w:rsidR="00872908" w:rsidRPr="00611659" w14:paraId="09165B4E" w14:textId="77777777" w:rsidTr="00D94BE8">
        <w:trPr>
          <w:trHeight w:val="596"/>
        </w:trPr>
        <w:tc>
          <w:tcPr>
            <w:tcW w:w="2235" w:type="dxa"/>
            <w:tcBorders>
              <w:top w:val="single" w:sz="4" w:space="0" w:color="auto"/>
              <w:bottom w:val="single" w:sz="4" w:space="0" w:color="auto"/>
            </w:tcBorders>
            <w:tcMar>
              <w:top w:w="113" w:type="dxa"/>
            </w:tcMar>
            <w:vAlign w:val="center"/>
          </w:tcPr>
          <w:p w14:paraId="46E5E0DC" w14:textId="77777777" w:rsidR="00872908" w:rsidRPr="00047508" w:rsidRDefault="00872908" w:rsidP="00872908">
            <w:pPr>
              <w:rPr>
                <w:rFonts w:ascii="Arial" w:hAnsi="Arial" w:cs="Arial"/>
                <w:sz w:val="20"/>
                <w:szCs w:val="20"/>
              </w:rPr>
            </w:pPr>
            <w:r w:rsidRPr="00047508">
              <w:rPr>
                <w:rFonts w:ascii="Arial" w:hAnsi="Arial" w:cs="Arial"/>
                <w:sz w:val="20"/>
                <w:szCs w:val="20"/>
              </w:rPr>
              <w:t>Implementatie:</w:t>
            </w:r>
          </w:p>
        </w:tc>
        <w:tc>
          <w:tcPr>
            <w:tcW w:w="2552" w:type="dxa"/>
            <w:tcBorders>
              <w:top w:val="single" w:sz="4" w:space="0" w:color="auto"/>
              <w:bottom w:val="single" w:sz="4" w:space="0" w:color="auto"/>
              <w:right w:val="single" w:sz="4" w:space="0" w:color="auto"/>
            </w:tcBorders>
            <w:tcMar>
              <w:top w:w="113" w:type="dxa"/>
            </w:tcMar>
            <w:vAlign w:val="center"/>
          </w:tcPr>
          <w:p w14:paraId="7BF03D39" w14:textId="2C303907" w:rsidR="00872908" w:rsidRPr="00047508" w:rsidRDefault="00872908" w:rsidP="00872908">
            <w:pPr>
              <w:rPr>
                <w:rFonts w:ascii="Arial" w:hAnsi="Arial" w:cs="Arial"/>
                <w:sz w:val="20"/>
                <w:szCs w:val="20"/>
              </w:rPr>
            </w:pPr>
            <w:r w:rsidRPr="00047508">
              <w:rPr>
                <w:rFonts w:ascii="Arial" w:hAnsi="Arial" w:cs="Arial"/>
                <w:sz w:val="20"/>
                <w:szCs w:val="20"/>
              </w:rPr>
              <w:t xml:space="preserve">Publicatie op website en in </w:t>
            </w:r>
            <w:r w:rsidR="00AB6337">
              <w:rPr>
                <w:rFonts w:ascii="Arial" w:hAnsi="Arial" w:cs="Arial"/>
                <w:sz w:val="20"/>
                <w:szCs w:val="20"/>
              </w:rPr>
              <w:t>certificatieschema SCL 2.0</w:t>
            </w:r>
          </w:p>
        </w:tc>
        <w:tc>
          <w:tcPr>
            <w:tcW w:w="2438" w:type="dxa"/>
            <w:tcBorders>
              <w:top w:val="single" w:sz="4" w:space="0" w:color="auto"/>
              <w:left w:val="single" w:sz="4" w:space="0" w:color="auto"/>
              <w:bottom w:val="single" w:sz="4" w:space="0" w:color="auto"/>
            </w:tcBorders>
            <w:tcMar>
              <w:top w:w="113" w:type="dxa"/>
            </w:tcMar>
            <w:vAlign w:val="center"/>
          </w:tcPr>
          <w:p w14:paraId="4A69A3B9" w14:textId="77777777" w:rsidR="00872908" w:rsidRPr="00047508" w:rsidRDefault="00872908" w:rsidP="00872908">
            <w:pPr>
              <w:rPr>
                <w:rFonts w:ascii="Arial" w:hAnsi="Arial" w:cs="Arial"/>
                <w:sz w:val="20"/>
                <w:szCs w:val="20"/>
              </w:rPr>
            </w:pPr>
            <w:r w:rsidRPr="00047508">
              <w:rPr>
                <w:rFonts w:ascii="Arial" w:hAnsi="Arial" w:cs="Arial"/>
                <w:sz w:val="20"/>
                <w:szCs w:val="20"/>
              </w:rPr>
              <w:t>Ingangstermijn:</w:t>
            </w:r>
          </w:p>
        </w:tc>
        <w:tc>
          <w:tcPr>
            <w:tcW w:w="2009" w:type="dxa"/>
            <w:tcBorders>
              <w:top w:val="single" w:sz="4" w:space="0" w:color="auto"/>
              <w:bottom w:val="single" w:sz="4" w:space="0" w:color="auto"/>
            </w:tcBorders>
            <w:tcMar>
              <w:top w:w="113" w:type="dxa"/>
            </w:tcMar>
            <w:vAlign w:val="center"/>
          </w:tcPr>
          <w:p w14:paraId="51BADF53" w14:textId="1E90B1CD" w:rsidR="00872908" w:rsidRPr="00047508" w:rsidRDefault="0072172B" w:rsidP="00872908">
            <w:pPr>
              <w:rPr>
                <w:rFonts w:ascii="Arial" w:hAnsi="Arial" w:cs="Arial"/>
                <w:sz w:val="20"/>
                <w:szCs w:val="20"/>
              </w:rPr>
            </w:pPr>
            <w:r>
              <w:rPr>
                <w:rFonts w:ascii="Arial" w:hAnsi="Arial" w:cs="Arial"/>
                <w:sz w:val="20"/>
                <w:szCs w:val="20"/>
              </w:rPr>
              <w:t xml:space="preserve">1 januari 2024 </w:t>
            </w:r>
          </w:p>
        </w:tc>
      </w:tr>
    </w:tbl>
    <w:p w14:paraId="3E0D00F2" w14:textId="77777777" w:rsidR="00872908" w:rsidRDefault="00872908" w:rsidP="00635016">
      <w:pPr>
        <w:spacing w:after="0"/>
        <w:rPr>
          <w:color w:val="404040" w:themeColor="text1" w:themeTint="BF"/>
          <w:sz w:val="24"/>
          <w:szCs w:val="24"/>
        </w:rPr>
      </w:pPr>
    </w:p>
    <w:p w14:paraId="38743F6B" w14:textId="77915340" w:rsidR="007F4010" w:rsidRPr="007F4010" w:rsidRDefault="007F4010" w:rsidP="00A46721">
      <w:pPr>
        <w:spacing w:after="0"/>
        <w:rPr>
          <w:color w:val="009691"/>
        </w:rPr>
      </w:pPr>
      <w:r w:rsidRPr="007F4010">
        <w:rPr>
          <w:color w:val="009691"/>
        </w:rPr>
        <w:t>Achtergrond;</w:t>
      </w:r>
    </w:p>
    <w:p w14:paraId="454BF7D6" w14:textId="5234562B" w:rsidR="002F621D" w:rsidRDefault="00D76BC0" w:rsidP="00091459">
      <w:pPr>
        <w:spacing w:after="0"/>
      </w:pPr>
      <w:r>
        <w:t>Certificerende Instellingen (CI’en)</w:t>
      </w:r>
      <w:r w:rsidR="002B6837">
        <w:t xml:space="preserve"> </w:t>
      </w:r>
      <w:r w:rsidR="004641F4">
        <w:t>hebben met enige regelmaat te maken met opdrachtgevers die het oneens zijn met de bevindingen en conclusies van de auditoren na</w:t>
      </w:r>
      <w:r w:rsidR="000C519B">
        <w:t xml:space="preserve"> een audit. </w:t>
      </w:r>
      <w:r w:rsidR="00E071F4">
        <w:t>In het Handboek (bij SCL 2016) en het Certificeringsschema SCL 2.0</w:t>
      </w:r>
      <w:r w:rsidR="002D1E7E">
        <w:t>) wordt de mogelijkheid beschreven om als opdrachtgever een beroep te doen op de term ‘Meetfout’.</w:t>
      </w:r>
    </w:p>
    <w:p w14:paraId="38EF6CE0" w14:textId="77777777" w:rsidR="006337DE" w:rsidRDefault="006337DE" w:rsidP="006337DE">
      <w:pPr>
        <w:spacing w:after="0"/>
      </w:pPr>
    </w:p>
    <w:p w14:paraId="3551CC75" w14:textId="36F6E657" w:rsidR="006337DE" w:rsidRDefault="006337DE" w:rsidP="006337DE">
      <w:pPr>
        <w:spacing w:after="0"/>
      </w:pPr>
      <w:r>
        <w:t xml:space="preserve">In het SCL handboek wordt in paragraaf 6.10 gesproken van ‘meetfout’. Het begrip ‘meetfout’ is niet nader omschreven. Het komt voor dat de klant het niet eens is met de afgegeven score en gebruik wil maken van paragraaf 6.10 m.b.t. de ‘meetfout’. Het is dan niet duidelijk wat wordt verstaan onder ‘meetfout’. Is dit één aspect uit de norm? Is dit één hoofdstuk uit de norm? </w:t>
      </w:r>
    </w:p>
    <w:p w14:paraId="5825A34F" w14:textId="77777777" w:rsidR="006337DE" w:rsidRDefault="006337DE" w:rsidP="006337DE">
      <w:pPr>
        <w:spacing w:after="0"/>
      </w:pPr>
    </w:p>
    <w:p w14:paraId="08A5658D" w14:textId="00423F6B" w:rsidR="003978EB" w:rsidRDefault="003978EB" w:rsidP="00091459">
      <w:pPr>
        <w:spacing w:after="0"/>
      </w:pPr>
      <w:r>
        <w:t xml:space="preserve">Het Harmonisatieoverleg van de CI’en </w:t>
      </w:r>
      <w:r w:rsidR="00E41B80">
        <w:t xml:space="preserve">heeft </w:t>
      </w:r>
      <w:r>
        <w:t>daarom het</w:t>
      </w:r>
      <w:r w:rsidR="00E41B80">
        <w:t xml:space="preserve"> initiatief genomen om een voorstel uit te werken waarmee de voornoemde interpretatieverschillen </w:t>
      </w:r>
      <w:r w:rsidR="00AC0A7E">
        <w:t>niet meer mogelijk zijn.</w:t>
      </w:r>
    </w:p>
    <w:p w14:paraId="07BF3852" w14:textId="32AC8536" w:rsidR="00CF6C7F" w:rsidRDefault="00CF6C7F" w:rsidP="00091459">
      <w:pPr>
        <w:spacing w:after="0"/>
      </w:pPr>
    </w:p>
    <w:p w14:paraId="29E8A05F" w14:textId="1D6E35AD" w:rsidR="00347EC1" w:rsidRPr="00EC1701" w:rsidRDefault="00347EC1" w:rsidP="00347EC1">
      <w:pPr>
        <w:spacing w:after="0"/>
        <w:rPr>
          <w:color w:val="009691"/>
        </w:rPr>
      </w:pPr>
      <w:r w:rsidRPr="00347EC1">
        <w:rPr>
          <w:color w:val="009691"/>
        </w:rPr>
        <w:t>Procedure</w:t>
      </w:r>
      <w:r w:rsidRPr="00EC1701">
        <w:rPr>
          <w:color w:val="009691"/>
        </w:rPr>
        <w:t>;</w:t>
      </w:r>
    </w:p>
    <w:p w14:paraId="7C6AB0B0" w14:textId="6A33761A" w:rsidR="00C34D26" w:rsidRDefault="008B52FF" w:rsidP="00091459">
      <w:r>
        <w:t xml:space="preserve">Op basis van de ervaringen van meerdere CI’en </w:t>
      </w:r>
      <w:r w:rsidR="000E207E">
        <w:t>uit</w:t>
      </w:r>
      <w:r>
        <w:t xml:space="preserve"> het HO is een voorstel ontwikkeld voor aanpassing </w:t>
      </w:r>
      <w:r w:rsidR="00716832">
        <w:t xml:space="preserve">van de randvoorwaarden en de te volgen procedure in het geval een </w:t>
      </w:r>
      <w:r w:rsidR="0076042F">
        <w:t>opdrachtgever</w:t>
      </w:r>
      <w:r w:rsidR="00716832">
        <w:t xml:space="preserve"> een beroep wil doen op </w:t>
      </w:r>
      <w:r w:rsidR="0076042F">
        <w:t>de term ‘Meetfout’.</w:t>
      </w:r>
    </w:p>
    <w:p w14:paraId="6FB17AF2" w14:textId="3B83CA2E" w:rsidR="009413E2" w:rsidRDefault="00524D61" w:rsidP="00091459">
      <w:r>
        <w:t xml:space="preserve">Het </w:t>
      </w:r>
      <w:r w:rsidR="00745CE6">
        <w:t xml:space="preserve">voorstel is door de vertegenwoordigers van uit HO in de CvD SCL </w:t>
      </w:r>
      <w:r w:rsidR="00AE59AE">
        <w:t>in de CvD ingebracht en toegelicht.</w:t>
      </w:r>
      <w:r w:rsidR="00B639B4" w:rsidRPr="00B639B4">
        <w:t xml:space="preserve"> </w:t>
      </w:r>
      <w:r w:rsidR="00B639B4">
        <w:t>Uitgang</w:t>
      </w:r>
      <w:r w:rsidR="008F601A">
        <w:t xml:space="preserve">spunt daarbij is dat het </w:t>
      </w:r>
      <w:r w:rsidR="00B639B4">
        <w:t>geen inhoudelijke kwestie mag zijn; twee auditoren zijn gezamenlijk tot een bepaalde score gekomen</w:t>
      </w:r>
    </w:p>
    <w:p w14:paraId="36622EBC" w14:textId="1E8363E7" w:rsidR="00A46721" w:rsidRPr="00A46721" w:rsidRDefault="00A46721" w:rsidP="00A46721">
      <w:pPr>
        <w:spacing w:after="0"/>
        <w:rPr>
          <w:color w:val="009691"/>
        </w:rPr>
      </w:pPr>
      <w:r w:rsidRPr="00A46721">
        <w:rPr>
          <w:color w:val="009691"/>
        </w:rPr>
        <w:t>Besluit:</w:t>
      </w:r>
    </w:p>
    <w:p w14:paraId="4D4BB7EB" w14:textId="36ED816F" w:rsidR="009C11B1" w:rsidRDefault="00A46721" w:rsidP="003328B1">
      <w:pPr>
        <w:spacing w:after="0"/>
      </w:pPr>
      <w:r>
        <w:t xml:space="preserve">De CvD SCL </w:t>
      </w:r>
      <w:r w:rsidR="00BE03A7">
        <w:t>gaat akkoord met de aanpassing van de term ‘Meetfout’</w:t>
      </w:r>
      <w:r w:rsidR="008F601A">
        <w:t xml:space="preserve"> zoals in onderstaande tabel is weergegeven</w:t>
      </w:r>
      <w:r w:rsidR="00680449">
        <w:t xml:space="preserve"> (</w:t>
      </w:r>
      <w:r w:rsidR="00C864FA">
        <w:t>de rode tekst in de linker kolom wordt vervangen door de rode tekst in de rechter</w:t>
      </w:r>
      <w:r w:rsidR="00B626B5">
        <w:t xml:space="preserve"> </w:t>
      </w:r>
      <w:r w:rsidR="00C864FA">
        <w:t>kolom)</w:t>
      </w:r>
      <w:r w:rsidR="00091459">
        <w:t>:</w:t>
      </w:r>
    </w:p>
    <w:tbl>
      <w:tblPr>
        <w:tblStyle w:val="Tabelraster"/>
        <w:tblW w:w="0" w:type="auto"/>
        <w:tblLook w:val="04A0" w:firstRow="1" w:lastRow="0" w:firstColumn="1" w:lastColumn="0" w:noHBand="0" w:noVBand="1"/>
      </w:tblPr>
      <w:tblGrid>
        <w:gridCol w:w="4531"/>
        <w:gridCol w:w="4531"/>
      </w:tblGrid>
      <w:tr w:rsidR="009C11B1" w:rsidRPr="006D7054" w14:paraId="5827160A" w14:textId="77777777" w:rsidTr="004F466E">
        <w:tc>
          <w:tcPr>
            <w:tcW w:w="9062" w:type="dxa"/>
            <w:gridSpan w:val="2"/>
            <w:shd w:val="clear" w:color="auto" w:fill="FABF8F" w:themeFill="accent6" w:themeFillTint="99"/>
          </w:tcPr>
          <w:p w14:paraId="34F939B1" w14:textId="77777777" w:rsidR="009C11B1" w:rsidRPr="006D7054" w:rsidRDefault="009C11B1" w:rsidP="00091303">
            <w:pPr>
              <w:jc w:val="center"/>
              <w:rPr>
                <w:b/>
                <w:bCs/>
                <w:sz w:val="20"/>
                <w:szCs w:val="20"/>
              </w:rPr>
            </w:pPr>
            <w:r w:rsidRPr="006D7054">
              <w:rPr>
                <w:b/>
                <w:bCs/>
                <w:sz w:val="20"/>
                <w:szCs w:val="20"/>
              </w:rPr>
              <w:t>Hoofdstuk 6.10 Geldigheid certificaat en statement</w:t>
            </w:r>
          </w:p>
        </w:tc>
      </w:tr>
      <w:tr w:rsidR="009C11B1" w:rsidRPr="006D7054" w14:paraId="5BB487CF" w14:textId="77777777" w:rsidTr="004F466E">
        <w:tc>
          <w:tcPr>
            <w:tcW w:w="4531" w:type="dxa"/>
            <w:shd w:val="clear" w:color="auto" w:fill="FBD4B4" w:themeFill="accent6" w:themeFillTint="66"/>
          </w:tcPr>
          <w:p w14:paraId="1CCB5EDF" w14:textId="77777777" w:rsidR="009269FA" w:rsidRDefault="009C11B1" w:rsidP="00091303">
            <w:pPr>
              <w:rPr>
                <w:sz w:val="20"/>
                <w:szCs w:val="20"/>
              </w:rPr>
            </w:pPr>
            <w:r w:rsidRPr="006D7054">
              <w:rPr>
                <w:sz w:val="20"/>
                <w:szCs w:val="20"/>
              </w:rPr>
              <w:t>6.10</w:t>
            </w:r>
            <w:r w:rsidRPr="006D7054">
              <w:rPr>
                <w:sz w:val="20"/>
                <w:szCs w:val="20"/>
              </w:rPr>
              <w:tab/>
              <w:t>Geldigheid certificaat en statement</w:t>
            </w:r>
            <w:r w:rsidR="008F601A">
              <w:rPr>
                <w:sz w:val="20"/>
                <w:szCs w:val="20"/>
              </w:rPr>
              <w:t xml:space="preserve"> </w:t>
            </w:r>
          </w:p>
          <w:p w14:paraId="6E855632" w14:textId="7B48394E" w:rsidR="009C11B1" w:rsidRPr="006D7054" w:rsidRDefault="008F601A" w:rsidP="009269FA">
            <w:pPr>
              <w:ind w:left="741"/>
              <w:rPr>
                <w:sz w:val="20"/>
                <w:szCs w:val="20"/>
              </w:rPr>
            </w:pPr>
            <w:r>
              <w:rPr>
                <w:sz w:val="20"/>
                <w:szCs w:val="20"/>
              </w:rPr>
              <w:t>(huidige tekst)</w:t>
            </w:r>
          </w:p>
        </w:tc>
        <w:tc>
          <w:tcPr>
            <w:tcW w:w="4531" w:type="dxa"/>
            <w:shd w:val="clear" w:color="auto" w:fill="FBD4B4" w:themeFill="accent6" w:themeFillTint="66"/>
          </w:tcPr>
          <w:p w14:paraId="0C48B0D5" w14:textId="04128EFC" w:rsidR="009C11B1" w:rsidRPr="006D7054" w:rsidRDefault="00372633" w:rsidP="00091303">
            <w:pPr>
              <w:rPr>
                <w:sz w:val="20"/>
                <w:szCs w:val="20"/>
              </w:rPr>
            </w:pPr>
            <w:r>
              <w:rPr>
                <w:sz w:val="20"/>
                <w:szCs w:val="20"/>
              </w:rPr>
              <w:t>Aanpassing tekst</w:t>
            </w:r>
          </w:p>
        </w:tc>
      </w:tr>
      <w:tr w:rsidR="009C11B1" w:rsidRPr="006D7054" w14:paraId="78BF9C6E" w14:textId="77777777" w:rsidTr="00091303">
        <w:tc>
          <w:tcPr>
            <w:tcW w:w="4531" w:type="dxa"/>
          </w:tcPr>
          <w:p w14:paraId="37CB0563" w14:textId="77777777" w:rsidR="009C11B1" w:rsidRPr="006D7054" w:rsidRDefault="009C11B1" w:rsidP="00091303">
            <w:pPr>
              <w:rPr>
                <w:sz w:val="20"/>
                <w:szCs w:val="20"/>
              </w:rPr>
            </w:pPr>
            <w:r w:rsidRPr="006D7054">
              <w:rPr>
                <w:sz w:val="20"/>
                <w:szCs w:val="20"/>
              </w:rPr>
              <w:t xml:space="preserve">Een door een LCI afgegeven ‘Safety Culture Ladder certificaat of statement trede N’ heeft een geldigheid van 3 jaar, onder de voorwaarde dat jaarlijks een opvolgingsaudit plaatsvindt. Vanaf 10 maanden tot uiterlijk 12 maanden na certificatie is een opvolgingsaudit noodzakelijk om de geldigheid van het oorspronkelijk verkregen certificaat of statement te behouden. </w:t>
            </w:r>
          </w:p>
          <w:p w14:paraId="029A841B" w14:textId="77777777" w:rsidR="009C11B1" w:rsidRPr="006D7054" w:rsidRDefault="009C11B1" w:rsidP="00091303">
            <w:pPr>
              <w:rPr>
                <w:sz w:val="20"/>
                <w:szCs w:val="20"/>
              </w:rPr>
            </w:pPr>
          </w:p>
          <w:p w14:paraId="7CCAAAD0" w14:textId="77777777" w:rsidR="009C11B1" w:rsidRPr="006D7054" w:rsidRDefault="009C11B1" w:rsidP="00091303">
            <w:pPr>
              <w:rPr>
                <w:sz w:val="20"/>
                <w:szCs w:val="20"/>
              </w:rPr>
            </w:pPr>
            <w:r w:rsidRPr="006D7054">
              <w:rPr>
                <w:sz w:val="20"/>
                <w:szCs w:val="20"/>
              </w:rPr>
              <w:t xml:space="preserve">Bij veronderstelde stijging op de ladder is een bedrijf vrij om een nieuwe ladderbeoordeling aan te vragen bij een LCI. Dit kan niet eerder dan een halfjaar na het verkrijgen van het certificaat. </w:t>
            </w:r>
          </w:p>
          <w:p w14:paraId="0607F7D0" w14:textId="77777777" w:rsidR="009C11B1" w:rsidRPr="006D7054" w:rsidRDefault="009C11B1" w:rsidP="00091303">
            <w:pPr>
              <w:rPr>
                <w:color w:val="FF0000"/>
                <w:sz w:val="20"/>
                <w:szCs w:val="20"/>
              </w:rPr>
            </w:pPr>
            <w:r w:rsidRPr="006D7054">
              <w:rPr>
                <w:i/>
                <w:iCs/>
                <w:color w:val="FF0000"/>
                <w:sz w:val="20"/>
                <w:szCs w:val="20"/>
              </w:rPr>
              <w:t>Indien een bedrijf niet (meer) aan de eisen voldoet kan het bedrijf binnen een termijn van 13 weken een extra audit houden om aan te tonen dat de eerste audit een meetfout bevat en dat voldaan wordt aan de eis. De review vindt dan specifiek plaats op de vermeende ‘fout’ beoordeelde bedrijfsaspecten. De LCI stelt hiervoor een auditplan op.</w:t>
            </w:r>
          </w:p>
          <w:p w14:paraId="7ABA8F8C" w14:textId="77777777" w:rsidR="009C11B1" w:rsidRPr="006D7054" w:rsidRDefault="009C11B1" w:rsidP="00091303">
            <w:pPr>
              <w:rPr>
                <w:sz w:val="20"/>
                <w:szCs w:val="20"/>
              </w:rPr>
            </w:pPr>
          </w:p>
          <w:p w14:paraId="1F5E1A38" w14:textId="77777777" w:rsidR="009A2732" w:rsidRDefault="009A2732" w:rsidP="00091303">
            <w:pPr>
              <w:rPr>
                <w:sz w:val="20"/>
                <w:szCs w:val="20"/>
              </w:rPr>
            </w:pPr>
          </w:p>
          <w:p w14:paraId="697161C0" w14:textId="77777777" w:rsidR="009A2732" w:rsidRDefault="009A2732" w:rsidP="00091303">
            <w:pPr>
              <w:rPr>
                <w:sz w:val="20"/>
                <w:szCs w:val="20"/>
              </w:rPr>
            </w:pPr>
          </w:p>
          <w:p w14:paraId="6221D569" w14:textId="5D6AE8C9" w:rsidR="009C11B1" w:rsidRPr="00540147" w:rsidRDefault="009C11B1" w:rsidP="00091303">
            <w:pPr>
              <w:rPr>
                <w:color w:val="FF0000"/>
                <w:sz w:val="20"/>
                <w:szCs w:val="20"/>
              </w:rPr>
            </w:pPr>
            <w:r w:rsidRPr="00540147">
              <w:rPr>
                <w:color w:val="FF0000"/>
                <w:sz w:val="20"/>
                <w:szCs w:val="20"/>
              </w:rPr>
              <w:t xml:space="preserve">Indien ook de tweede meting aantoont dat het bedrijf niet (meer) voldoet aan de eisen verliest het bedrijf zijn certificaat op trede N en wordt – op basis van het advies van de LCI – gecertificeerd voor een lagere trede. </w:t>
            </w:r>
          </w:p>
          <w:p w14:paraId="37E89AB0" w14:textId="77777777" w:rsidR="003B7896" w:rsidRDefault="003B7896" w:rsidP="00091303">
            <w:pPr>
              <w:rPr>
                <w:sz w:val="20"/>
                <w:szCs w:val="20"/>
              </w:rPr>
            </w:pPr>
          </w:p>
          <w:p w14:paraId="4F644C47" w14:textId="77777777" w:rsidR="003B7896" w:rsidRDefault="003B7896" w:rsidP="00091303">
            <w:pPr>
              <w:rPr>
                <w:sz w:val="20"/>
                <w:szCs w:val="20"/>
              </w:rPr>
            </w:pPr>
          </w:p>
          <w:p w14:paraId="0384BFA2" w14:textId="77777777" w:rsidR="003B7896" w:rsidRDefault="003B7896" w:rsidP="00091303">
            <w:pPr>
              <w:rPr>
                <w:sz w:val="20"/>
                <w:szCs w:val="20"/>
              </w:rPr>
            </w:pPr>
          </w:p>
          <w:p w14:paraId="4704F82F" w14:textId="55CF0F24" w:rsidR="009C11B1" w:rsidRPr="006D7054" w:rsidRDefault="009C11B1" w:rsidP="00091303">
            <w:pPr>
              <w:rPr>
                <w:sz w:val="20"/>
                <w:szCs w:val="20"/>
              </w:rPr>
            </w:pPr>
            <w:r w:rsidRPr="006D7054">
              <w:rPr>
                <w:sz w:val="20"/>
                <w:szCs w:val="20"/>
              </w:rPr>
              <w:t>Het is niet toegestaan om binnen de termijn van 13 weken te veranderen van LCI of auditoren. Daarna mag een bedrijf wisselen mits vooraf kenbaar gemaakt bij NEN. Een verklaring afgegeven bij het product Approved Self Assessment heeft ook een geldigheid van 3 jaar.</w:t>
            </w:r>
          </w:p>
        </w:tc>
        <w:tc>
          <w:tcPr>
            <w:tcW w:w="4531" w:type="dxa"/>
          </w:tcPr>
          <w:p w14:paraId="24B1F127" w14:textId="77777777" w:rsidR="009C11B1" w:rsidRPr="006D7054" w:rsidRDefault="009C11B1" w:rsidP="00091303">
            <w:pPr>
              <w:rPr>
                <w:sz w:val="20"/>
                <w:szCs w:val="20"/>
              </w:rPr>
            </w:pPr>
            <w:r w:rsidRPr="006D7054">
              <w:rPr>
                <w:sz w:val="20"/>
                <w:szCs w:val="20"/>
              </w:rPr>
              <w:lastRenderedPageBreak/>
              <w:t xml:space="preserve">Een door een LCI afgegeven ‘Safety Culture Ladder certificaat of statement trede N’ heeft een geldigheid van 3 jaar, onder de voorwaarde dat jaarlijks een opvolgingsaudit plaatsvindt. Vanaf 10 maanden tot uiterlijk 12 maanden na certificatie is een opvolgingsaudit noodzakelijk om de geldigheid van het oorspronkelijk verkregen certificaat of statement te behouden. </w:t>
            </w:r>
          </w:p>
          <w:p w14:paraId="597D22FC" w14:textId="77777777" w:rsidR="009C11B1" w:rsidRPr="006D7054" w:rsidRDefault="009C11B1" w:rsidP="00091303">
            <w:pPr>
              <w:rPr>
                <w:sz w:val="20"/>
                <w:szCs w:val="20"/>
              </w:rPr>
            </w:pPr>
          </w:p>
          <w:p w14:paraId="30B3F1C4" w14:textId="77777777" w:rsidR="009C11B1" w:rsidRPr="006D7054" w:rsidRDefault="009C11B1" w:rsidP="00091303">
            <w:pPr>
              <w:rPr>
                <w:sz w:val="20"/>
                <w:szCs w:val="20"/>
              </w:rPr>
            </w:pPr>
            <w:r w:rsidRPr="006D7054">
              <w:rPr>
                <w:sz w:val="20"/>
                <w:szCs w:val="20"/>
              </w:rPr>
              <w:t>Bij veronderstelde stijging op de ladder is een bedrijf vrij om een nieuwe ladderbeoordeling aan te vragen bij een LCI. Dit kan niet eerder dan een halfjaar na het verkrijgen van het certificaat.</w:t>
            </w:r>
          </w:p>
          <w:p w14:paraId="024ECC57" w14:textId="77777777" w:rsidR="009C11B1" w:rsidRPr="00680449" w:rsidRDefault="009C11B1" w:rsidP="00091303">
            <w:pPr>
              <w:rPr>
                <w:i/>
                <w:iCs/>
                <w:color w:val="FF0000"/>
                <w:sz w:val="20"/>
                <w:szCs w:val="20"/>
              </w:rPr>
            </w:pPr>
            <w:r w:rsidRPr="00680449">
              <w:rPr>
                <w:i/>
                <w:iCs/>
                <w:color w:val="FF0000"/>
                <w:sz w:val="20"/>
                <w:szCs w:val="20"/>
              </w:rPr>
              <w:t xml:space="preserve">Een meet fout wordt gezien als een vermeende fout in </w:t>
            </w:r>
            <w:r w:rsidRPr="00680449">
              <w:rPr>
                <w:i/>
                <w:iCs/>
                <w:color w:val="FF0000"/>
                <w:sz w:val="20"/>
                <w:szCs w:val="20"/>
                <w:u w:val="single"/>
              </w:rPr>
              <w:t>de uitvoering van het auditproces.</w:t>
            </w:r>
            <w:r w:rsidRPr="00680449">
              <w:rPr>
                <w:i/>
                <w:iCs/>
                <w:color w:val="FF0000"/>
                <w:sz w:val="20"/>
                <w:szCs w:val="20"/>
              </w:rPr>
              <w:t xml:space="preserve"> Het betreft hier geen inhoudelijke fout over de score toekenning. </w:t>
            </w:r>
          </w:p>
          <w:p w14:paraId="2401DACE" w14:textId="77777777" w:rsidR="009C11B1" w:rsidRPr="00680449" w:rsidRDefault="009C11B1" w:rsidP="00091303">
            <w:pPr>
              <w:rPr>
                <w:i/>
                <w:iCs/>
                <w:color w:val="FF0000"/>
                <w:sz w:val="20"/>
                <w:szCs w:val="20"/>
              </w:rPr>
            </w:pPr>
            <w:r w:rsidRPr="00680449">
              <w:rPr>
                <w:i/>
                <w:iCs/>
                <w:color w:val="FF0000"/>
                <w:sz w:val="20"/>
                <w:szCs w:val="20"/>
              </w:rPr>
              <w:t>Indien de klant de uitvoering van de audit betwist, is de klachtenprocedure van de CI van toepassing, de klacht dient binnen 1 week na ontvangst van de (concept)rapportage bij de CI te worden ingediend. Er geldt een termijn van 13 weken waarbinnen de klacht dient te zijn afgehandeld door de CI.</w:t>
            </w:r>
          </w:p>
          <w:p w14:paraId="7633E953" w14:textId="77777777" w:rsidR="009C11B1" w:rsidRPr="006D7054" w:rsidRDefault="009C11B1" w:rsidP="00091303">
            <w:pPr>
              <w:rPr>
                <w:sz w:val="20"/>
                <w:szCs w:val="20"/>
              </w:rPr>
            </w:pPr>
          </w:p>
          <w:p w14:paraId="39572556" w14:textId="77777777" w:rsidR="009C11B1" w:rsidRPr="00680449" w:rsidRDefault="009C11B1" w:rsidP="00091303">
            <w:pPr>
              <w:rPr>
                <w:i/>
                <w:iCs/>
                <w:color w:val="FF0000"/>
                <w:sz w:val="20"/>
                <w:szCs w:val="20"/>
              </w:rPr>
            </w:pPr>
            <w:r w:rsidRPr="00680449">
              <w:rPr>
                <w:i/>
                <w:iCs/>
                <w:color w:val="FF0000"/>
                <w:sz w:val="20"/>
                <w:szCs w:val="20"/>
              </w:rPr>
              <w:t>Indien bovenstaande niet tot het gewenste resultaat leid, kan een klacht worden ingediend bij  de schema beheerder NEN, zij kunnen door het instellen van een onafhankelijke klachtencommissie de aangeleverde klacht laten beoordelen op de juiste toegepaste procesvorming.  Het resultaat van dit onderzoek is bindend.</w:t>
            </w:r>
          </w:p>
          <w:p w14:paraId="5F401401" w14:textId="77777777" w:rsidR="009C11B1" w:rsidRPr="0003309A" w:rsidRDefault="009C11B1" w:rsidP="00091303">
            <w:pPr>
              <w:rPr>
                <w:i/>
                <w:iCs/>
                <w:color w:val="FFC000"/>
                <w:sz w:val="20"/>
                <w:szCs w:val="20"/>
              </w:rPr>
            </w:pPr>
          </w:p>
          <w:p w14:paraId="384C5A4F" w14:textId="77777777" w:rsidR="009C11B1" w:rsidRDefault="009C11B1" w:rsidP="00091303">
            <w:pPr>
              <w:rPr>
                <w:sz w:val="20"/>
                <w:szCs w:val="20"/>
              </w:rPr>
            </w:pPr>
            <w:r w:rsidRPr="006D7054">
              <w:rPr>
                <w:sz w:val="20"/>
                <w:szCs w:val="20"/>
              </w:rPr>
              <w:t xml:space="preserve">Het is niet toegestaan om binnen de termijn van 13 weken te veranderen van LCI of auditoren. Daarna mag een bedrijf wisselen mits vooraf kenbaar gemaakt bij NEN. </w:t>
            </w:r>
          </w:p>
          <w:p w14:paraId="64314A69" w14:textId="77777777" w:rsidR="009C11B1" w:rsidRDefault="009C11B1" w:rsidP="00091303">
            <w:pPr>
              <w:rPr>
                <w:sz w:val="20"/>
                <w:szCs w:val="20"/>
              </w:rPr>
            </w:pPr>
          </w:p>
          <w:p w14:paraId="52008372" w14:textId="77777777" w:rsidR="009C11B1" w:rsidRPr="006D7054" w:rsidRDefault="009C11B1" w:rsidP="00091303">
            <w:pPr>
              <w:rPr>
                <w:sz w:val="20"/>
                <w:szCs w:val="20"/>
              </w:rPr>
            </w:pPr>
            <w:r w:rsidRPr="006D7054">
              <w:rPr>
                <w:sz w:val="20"/>
                <w:szCs w:val="20"/>
              </w:rPr>
              <w:t>Een verklaring afgegeven bij het product Approved Self Assessment heeft ook een geldigheid van 3 jaar.</w:t>
            </w:r>
          </w:p>
        </w:tc>
      </w:tr>
    </w:tbl>
    <w:p w14:paraId="3C823218" w14:textId="77777777" w:rsidR="009C11B1" w:rsidRDefault="009C11B1" w:rsidP="003328B1">
      <w:pPr>
        <w:spacing w:after="0"/>
      </w:pPr>
    </w:p>
    <w:sectPr w:rsidR="009C11B1" w:rsidSect="00D71B2A">
      <w:headerReference w:type="default" r:id="rId10"/>
      <w:pgSz w:w="11906" w:h="16838"/>
      <w:pgMar w:top="720" w:right="1416" w:bottom="720"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08077F" w14:textId="77777777" w:rsidR="00D71B2A" w:rsidRDefault="00D71B2A" w:rsidP="00CD0A9F">
      <w:pPr>
        <w:spacing w:after="0" w:line="240" w:lineRule="auto"/>
      </w:pPr>
      <w:r>
        <w:separator/>
      </w:r>
    </w:p>
  </w:endnote>
  <w:endnote w:type="continuationSeparator" w:id="0">
    <w:p w14:paraId="782C4764" w14:textId="77777777" w:rsidR="00D71B2A" w:rsidRDefault="00D71B2A" w:rsidP="00CD0A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129310" w14:textId="77777777" w:rsidR="00D71B2A" w:rsidRDefault="00D71B2A" w:rsidP="00CD0A9F">
      <w:pPr>
        <w:spacing w:after="0" w:line="240" w:lineRule="auto"/>
      </w:pPr>
      <w:r>
        <w:separator/>
      </w:r>
    </w:p>
  </w:footnote>
  <w:footnote w:type="continuationSeparator" w:id="0">
    <w:p w14:paraId="404B84A9" w14:textId="77777777" w:rsidR="00D71B2A" w:rsidRDefault="00D71B2A" w:rsidP="00CD0A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4F38E" w14:textId="02058280" w:rsidR="008D3B63" w:rsidRDefault="00893EF4" w:rsidP="00872908">
    <w:pPr>
      <w:pStyle w:val="Koptekst"/>
      <w:jc w:val="right"/>
    </w:pPr>
    <w:r>
      <w:rPr>
        <w:noProof/>
      </w:rPr>
      <w:drawing>
        <wp:inline distT="0" distB="0" distL="0" distR="0" wp14:anchorId="66B2D5A8" wp14:editId="1C0B8A41">
          <wp:extent cx="2554605" cy="3168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54605" cy="316865"/>
                  </a:xfrm>
                  <a:prstGeom prst="rect">
                    <a:avLst/>
                  </a:prstGeom>
                  <a:noFill/>
                </pic:spPr>
              </pic:pic>
            </a:graphicData>
          </a:graphic>
        </wp:inline>
      </w:drawing>
    </w:r>
  </w:p>
  <w:p w14:paraId="286C2498" w14:textId="77777777" w:rsidR="00893EF4" w:rsidRDefault="00893EF4" w:rsidP="00872908">
    <w:pPr>
      <w:pStyle w:val="Koptekst"/>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85304"/>
    <w:multiLevelType w:val="hybridMultilevel"/>
    <w:tmpl w:val="2AAC51F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2E657CF"/>
    <w:multiLevelType w:val="hybridMultilevel"/>
    <w:tmpl w:val="6A187EC2"/>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1C85F29"/>
    <w:multiLevelType w:val="hybridMultilevel"/>
    <w:tmpl w:val="A8E04CA2"/>
    <w:lvl w:ilvl="0" w:tplc="6D6A133E">
      <w:numFmt w:val="bullet"/>
      <w:lvlText w:val="•"/>
      <w:lvlJc w:val="left"/>
      <w:pPr>
        <w:ind w:left="420" w:hanging="420"/>
      </w:pPr>
      <w:rPr>
        <w:rFonts w:ascii="Arial" w:eastAsiaTheme="minorHAnsi"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1E667665"/>
    <w:multiLevelType w:val="hybridMultilevel"/>
    <w:tmpl w:val="C9DEFB40"/>
    <w:lvl w:ilvl="0" w:tplc="6D6A133E">
      <w:numFmt w:val="bullet"/>
      <w:lvlText w:val="•"/>
      <w:lvlJc w:val="left"/>
      <w:pPr>
        <w:ind w:left="420" w:hanging="42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0D831B9"/>
    <w:multiLevelType w:val="hybridMultilevel"/>
    <w:tmpl w:val="8898B38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1E17CDF"/>
    <w:multiLevelType w:val="hybridMultilevel"/>
    <w:tmpl w:val="FE1AC40C"/>
    <w:lvl w:ilvl="0" w:tplc="8F6A5332">
      <w:start w:val="3"/>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4260156"/>
    <w:multiLevelType w:val="hybridMultilevel"/>
    <w:tmpl w:val="64EE5ECC"/>
    <w:lvl w:ilvl="0" w:tplc="2AFA3336">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abstractNum w:abstractNumId="7" w15:restartNumberingAfterBreak="0">
    <w:nsid w:val="273129BB"/>
    <w:multiLevelType w:val="hybridMultilevel"/>
    <w:tmpl w:val="26EA324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D165C6F"/>
    <w:multiLevelType w:val="hybridMultilevel"/>
    <w:tmpl w:val="D190157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363C4AB7"/>
    <w:multiLevelType w:val="hybridMultilevel"/>
    <w:tmpl w:val="FA06801E"/>
    <w:lvl w:ilvl="0" w:tplc="12A4661E">
      <w:start w:val="3"/>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75F763B"/>
    <w:multiLevelType w:val="hybridMultilevel"/>
    <w:tmpl w:val="F0CA1EDC"/>
    <w:lvl w:ilvl="0" w:tplc="6D6A133E">
      <w:numFmt w:val="bullet"/>
      <w:lvlText w:val="•"/>
      <w:lvlJc w:val="left"/>
      <w:pPr>
        <w:ind w:left="420" w:hanging="42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4DA4561D"/>
    <w:multiLevelType w:val="hybridMultilevel"/>
    <w:tmpl w:val="C794191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58F31C62"/>
    <w:multiLevelType w:val="hybridMultilevel"/>
    <w:tmpl w:val="3774A8E0"/>
    <w:lvl w:ilvl="0" w:tplc="04130017">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3" w15:restartNumberingAfterBreak="0">
    <w:nsid w:val="5F330307"/>
    <w:multiLevelType w:val="hybridMultilevel"/>
    <w:tmpl w:val="9DC2C4E8"/>
    <w:lvl w:ilvl="0" w:tplc="D8E09E3C">
      <w:numFmt w:val="bullet"/>
      <w:lvlText w:val="-"/>
      <w:lvlJc w:val="left"/>
      <w:pPr>
        <w:ind w:left="720" w:hanging="360"/>
      </w:pPr>
      <w:rPr>
        <w:rFonts w:ascii="Calibri" w:eastAsia="Calibr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4" w15:restartNumberingAfterBreak="0">
    <w:nsid w:val="63F03D6B"/>
    <w:multiLevelType w:val="hybridMultilevel"/>
    <w:tmpl w:val="033C7C8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F74489E"/>
    <w:multiLevelType w:val="hybridMultilevel"/>
    <w:tmpl w:val="43626C0C"/>
    <w:lvl w:ilvl="0" w:tplc="6D6A133E">
      <w:numFmt w:val="bullet"/>
      <w:lvlText w:val="•"/>
      <w:lvlJc w:val="left"/>
      <w:pPr>
        <w:ind w:left="420" w:hanging="42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158963102">
    <w:abstractNumId w:val="7"/>
  </w:num>
  <w:num w:numId="2" w16cid:durableId="2049376299">
    <w:abstractNumId w:val="1"/>
  </w:num>
  <w:num w:numId="3" w16cid:durableId="977800817">
    <w:abstractNumId w:val="9"/>
  </w:num>
  <w:num w:numId="4" w16cid:durableId="836848262">
    <w:abstractNumId w:val="5"/>
  </w:num>
  <w:num w:numId="5" w16cid:durableId="472141872">
    <w:abstractNumId w:val="14"/>
  </w:num>
  <w:num w:numId="6" w16cid:durableId="1393045224">
    <w:abstractNumId w:val="2"/>
  </w:num>
  <w:num w:numId="7" w16cid:durableId="325939714">
    <w:abstractNumId w:val="10"/>
  </w:num>
  <w:num w:numId="8" w16cid:durableId="467943658">
    <w:abstractNumId w:val="3"/>
  </w:num>
  <w:num w:numId="9" w16cid:durableId="1885411216">
    <w:abstractNumId w:val="15"/>
  </w:num>
  <w:num w:numId="10" w16cid:durableId="87583151">
    <w:abstractNumId w:val="12"/>
  </w:num>
  <w:num w:numId="11" w16cid:durableId="131875513">
    <w:abstractNumId w:val="11"/>
  </w:num>
  <w:num w:numId="12" w16cid:durableId="1960642901">
    <w:abstractNumId w:val="13"/>
  </w:num>
  <w:num w:numId="13" w16cid:durableId="1556239780">
    <w:abstractNumId w:val="0"/>
  </w:num>
  <w:num w:numId="14" w16cid:durableId="1654018463">
    <w:abstractNumId w:val="6"/>
  </w:num>
  <w:num w:numId="15" w16cid:durableId="336080825">
    <w:abstractNumId w:val="4"/>
  </w:num>
  <w:num w:numId="16" w16cid:durableId="165671580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A5A"/>
    <w:rsid w:val="00002274"/>
    <w:rsid w:val="00006695"/>
    <w:rsid w:val="00012B2B"/>
    <w:rsid w:val="00015219"/>
    <w:rsid w:val="00040AC6"/>
    <w:rsid w:val="00047508"/>
    <w:rsid w:val="00056509"/>
    <w:rsid w:val="000714FD"/>
    <w:rsid w:val="00091459"/>
    <w:rsid w:val="000B7A8E"/>
    <w:rsid w:val="000C4886"/>
    <w:rsid w:val="000C519B"/>
    <w:rsid w:val="000E207E"/>
    <w:rsid w:val="000E2459"/>
    <w:rsid w:val="000F4268"/>
    <w:rsid w:val="00105F3A"/>
    <w:rsid w:val="00123072"/>
    <w:rsid w:val="001668FA"/>
    <w:rsid w:val="001839C1"/>
    <w:rsid w:val="00193A5A"/>
    <w:rsid w:val="00196429"/>
    <w:rsid w:val="00197194"/>
    <w:rsid w:val="001C1707"/>
    <w:rsid w:val="001C42FF"/>
    <w:rsid w:val="002037F6"/>
    <w:rsid w:val="00210AFE"/>
    <w:rsid w:val="00251628"/>
    <w:rsid w:val="00256583"/>
    <w:rsid w:val="002635C3"/>
    <w:rsid w:val="00266EC5"/>
    <w:rsid w:val="00276494"/>
    <w:rsid w:val="00281793"/>
    <w:rsid w:val="00294573"/>
    <w:rsid w:val="00294D88"/>
    <w:rsid w:val="002A58E4"/>
    <w:rsid w:val="002B074C"/>
    <w:rsid w:val="002B6837"/>
    <w:rsid w:val="002C539C"/>
    <w:rsid w:val="002D1E7E"/>
    <w:rsid w:val="002E1D8E"/>
    <w:rsid w:val="002E3E33"/>
    <w:rsid w:val="002F621D"/>
    <w:rsid w:val="002F744C"/>
    <w:rsid w:val="003058C1"/>
    <w:rsid w:val="00320AC6"/>
    <w:rsid w:val="00330173"/>
    <w:rsid w:val="003328B1"/>
    <w:rsid w:val="00342B84"/>
    <w:rsid w:val="00347EC1"/>
    <w:rsid w:val="00371D6D"/>
    <w:rsid w:val="00372633"/>
    <w:rsid w:val="00387865"/>
    <w:rsid w:val="003978EB"/>
    <w:rsid w:val="003B7896"/>
    <w:rsid w:val="003D18B6"/>
    <w:rsid w:val="003D6B29"/>
    <w:rsid w:val="003E77D5"/>
    <w:rsid w:val="004153F6"/>
    <w:rsid w:val="0043186F"/>
    <w:rsid w:val="00450501"/>
    <w:rsid w:val="00450ED9"/>
    <w:rsid w:val="0045253C"/>
    <w:rsid w:val="00455AE9"/>
    <w:rsid w:val="004641F4"/>
    <w:rsid w:val="00464E07"/>
    <w:rsid w:val="004A7959"/>
    <w:rsid w:val="004D0CE9"/>
    <w:rsid w:val="004D4A20"/>
    <w:rsid w:val="004E7747"/>
    <w:rsid w:val="004F34D4"/>
    <w:rsid w:val="004F466E"/>
    <w:rsid w:val="004F7A47"/>
    <w:rsid w:val="0051345D"/>
    <w:rsid w:val="0051510C"/>
    <w:rsid w:val="00524D61"/>
    <w:rsid w:val="0053691E"/>
    <w:rsid w:val="00540069"/>
    <w:rsid w:val="00540147"/>
    <w:rsid w:val="0054589F"/>
    <w:rsid w:val="00557E76"/>
    <w:rsid w:val="0056763E"/>
    <w:rsid w:val="00576DD5"/>
    <w:rsid w:val="00585C68"/>
    <w:rsid w:val="00594BB2"/>
    <w:rsid w:val="005D2336"/>
    <w:rsid w:val="005E44E0"/>
    <w:rsid w:val="005F13D3"/>
    <w:rsid w:val="005F151B"/>
    <w:rsid w:val="00606899"/>
    <w:rsid w:val="00611F3E"/>
    <w:rsid w:val="00617ABE"/>
    <w:rsid w:val="00617DC9"/>
    <w:rsid w:val="0062733D"/>
    <w:rsid w:val="006337DE"/>
    <w:rsid w:val="00635016"/>
    <w:rsid w:val="00652FAA"/>
    <w:rsid w:val="00667F97"/>
    <w:rsid w:val="006766F6"/>
    <w:rsid w:val="00680449"/>
    <w:rsid w:val="006809BD"/>
    <w:rsid w:val="0069011E"/>
    <w:rsid w:val="00693692"/>
    <w:rsid w:val="006B5094"/>
    <w:rsid w:val="006C5EEB"/>
    <w:rsid w:val="006E3FF0"/>
    <w:rsid w:val="006E7B1B"/>
    <w:rsid w:val="00711101"/>
    <w:rsid w:val="00716832"/>
    <w:rsid w:val="0072172B"/>
    <w:rsid w:val="00723977"/>
    <w:rsid w:val="00745CE6"/>
    <w:rsid w:val="00757752"/>
    <w:rsid w:val="0076042F"/>
    <w:rsid w:val="007A3966"/>
    <w:rsid w:val="007B6F2E"/>
    <w:rsid w:val="007D295B"/>
    <w:rsid w:val="007E22DA"/>
    <w:rsid w:val="007F23D8"/>
    <w:rsid w:val="007F4010"/>
    <w:rsid w:val="0080032E"/>
    <w:rsid w:val="00845366"/>
    <w:rsid w:val="0085729C"/>
    <w:rsid w:val="00860162"/>
    <w:rsid w:val="00870EFC"/>
    <w:rsid w:val="00872908"/>
    <w:rsid w:val="00884008"/>
    <w:rsid w:val="00893EF4"/>
    <w:rsid w:val="008A5EC3"/>
    <w:rsid w:val="008B52FF"/>
    <w:rsid w:val="008D1DDB"/>
    <w:rsid w:val="008D3B63"/>
    <w:rsid w:val="008E125A"/>
    <w:rsid w:val="008E4A2C"/>
    <w:rsid w:val="008E5725"/>
    <w:rsid w:val="008F601A"/>
    <w:rsid w:val="009118F0"/>
    <w:rsid w:val="00913165"/>
    <w:rsid w:val="00917A91"/>
    <w:rsid w:val="009245B1"/>
    <w:rsid w:val="009250DD"/>
    <w:rsid w:val="009269FA"/>
    <w:rsid w:val="00932779"/>
    <w:rsid w:val="009413E2"/>
    <w:rsid w:val="009458BF"/>
    <w:rsid w:val="00961B26"/>
    <w:rsid w:val="00961C2A"/>
    <w:rsid w:val="00977A62"/>
    <w:rsid w:val="00983CC3"/>
    <w:rsid w:val="00993CA7"/>
    <w:rsid w:val="009A2732"/>
    <w:rsid w:val="009B020E"/>
    <w:rsid w:val="009C11B1"/>
    <w:rsid w:val="009C270F"/>
    <w:rsid w:val="009E4C4E"/>
    <w:rsid w:val="00A06064"/>
    <w:rsid w:val="00A07702"/>
    <w:rsid w:val="00A15DE6"/>
    <w:rsid w:val="00A20E49"/>
    <w:rsid w:val="00A212F8"/>
    <w:rsid w:val="00A347A6"/>
    <w:rsid w:val="00A43260"/>
    <w:rsid w:val="00A46721"/>
    <w:rsid w:val="00A57E4B"/>
    <w:rsid w:val="00A858AC"/>
    <w:rsid w:val="00A94629"/>
    <w:rsid w:val="00AA7AD9"/>
    <w:rsid w:val="00AB167B"/>
    <w:rsid w:val="00AB1B2F"/>
    <w:rsid w:val="00AB6337"/>
    <w:rsid w:val="00AC0A7E"/>
    <w:rsid w:val="00AD6680"/>
    <w:rsid w:val="00AE59AE"/>
    <w:rsid w:val="00B0435D"/>
    <w:rsid w:val="00B06844"/>
    <w:rsid w:val="00B14D40"/>
    <w:rsid w:val="00B17003"/>
    <w:rsid w:val="00B22857"/>
    <w:rsid w:val="00B25961"/>
    <w:rsid w:val="00B30031"/>
    <w:rsid w:val="00B3518B"/>
    <w:rsid w:val="00B37F61"/>
    <w:rsid w:val="00B42C33"/>
    <w:rsid w:val="00B626B5"/>
    <w:rsid w:val="00B639B4"/>
    <w:rsid w:val="00BC3040"/>
    <w:rsid w:val="00BC3AE7"/>
    <w:rsid w:val="00BE03A7"/>
    <w:rsid w:val="00BE2CEB"/>
    <w:rsid w:val="00BE3890"/>
    <w:rsid w:val="00BE3F53"/>
    <w:rsid w:val="00BF14B8"/>
    <w:rsid w:val="00C01635"/>
    <w:rsid w:val="00C06AEB"/>
    <w:rsid w:val="00C12347"/>
    <w:rsid w:val="00C2018C"/>
    <w:rsid w:val="00C34D26"/>
    <w:rsid w:val="00C356BE"/>
    <w:rsid w:val="00C535BF"/>
    <w:rsid w:val="00C57C13"/>
    <w:rsid w:val="00C62B99"/>
    <w:rsid w:val="00C82F7D"/>
    <w:rsid w:val="00C864FA"/>
    <w:rsid w:val="00C96F81"/>
    <w:rsid w:val="00CA26D1"/>
    <w:rsid w:val="00CC49B0"/>
    <w:rsid w:val="00CD0A9F"/>
    <w:rsid w:val="00CD7066"/>
    <w:rsid w:val="00CE09F4"/>
    <w:rsid w:val="00CF49B0"/>
    <w:rsid w:val="00CF6C7F"/>
    <w:rsid w:val="00D35519"/>
    <w:rsid w:val="00D44F58"/>
    <w:rsid w:val="00D466DE"/>
    <w:rsid w:val="00D4683D"/>
    <w:rsid w:val="00D5378C"/>
    <w:rsid w:val="00D53928"/>
    <w:rsid w:val="00D630C6"/>
    <w:rsid w:val="00D71B2A"/>
    <w:rsid w:val="00D76BC0"/>
    <w:rsid w:val="00D77AF9"/>
    <w:rsid w:val="00D817F4"/>
    <w:rsid w:val="00D94767"/>
    <w:rsid w:val="00D94BE8"/>
    <w:rsid w:val="00DC14E7"/>
    <w:rsid w:val="00DE3A9A"/>
    <w:rsid w:val="00DF41B2"/>
    <w:rsid w:val="00E00DBB"/>
    <w:rsid w:val="00E071F4"/>
    <w:rsid w:val="00E203A8"/>
    <w:rsid w:val="00E21194"/>
    <w:rsid w:val="00E27A2F"/>
    <w:rsid w:val="00E41B80"/>
    <w:rsid w:val="00E43700"/>
    <w:rsid w:val="00E944FE"/>
    <w:rsid w:val="00EB33E4"/>
    <w:rsid w:val="00EB372C"/>
    <w:rsid w:val="00EC1701"/>
    <w:rsid w:val="00ED3FCA"/>
    <w:rsid w:val="00ED689B"/>
    <w:rsid w:val="00EF2143"/>
    <w:rsid w:val="00EF4097"/>
    <w:rsid w:val="00F0740A"/>
    <w:rsid w:val="00F250BF"/>
    <w:rsid w:val="00F30F9B"/>
    <w:rsid w:val="00F32982"/>
    <w:rsid w:val="00F44243"/>
    <w:rsid w:val="00F4450F"/>
    <w:rsid w:val="00F449B5"/>
    <w:rsid w:val="00F455A3"/>
    <w:rsid w:val="00F4796B"/>
    <w:rsid w:val="00F53CC6"/>
    <w:rsid w:val="00F64814"/>
    <w:rsid w:val="00F721ED"/>
    <w:rsid w:val="00F876EC"/>
    <w:rsid w:val="00FA6B79"/>
    <w:rsid w:val="00FC782C"/>
    <w:rsid w:val="00FD448E"/>
    <w:rsid w:val="00FE366B"/>
    <w:rsid w:val="00FF1D0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6598FA"/>
  <w15:docId w15:val="{2C9C64FB-37ED-43B2-A1F1-6416F33D9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047508"/>
    <w:pPr>
      <w:keepNext/>
      <w:keepLines/>
      <w:spacing w:before="480" w:after="0"/>
      <w:outlineLvl w:val="0"/>
    </w:pPr>
    <w:rPr>
      <w:rFonts w:ascii="Arial" w:eastAsiaTheme="majorEastAsia" w:hAnsi="Arial" w:cstheme="majorBidi"/>
      <w:b/>
      <w:color w:val="009691"/>
      <w:sz w:val="24"/>
      <w:szCs w:val="24"/>
    </w:rPr>
  </w:style>
  <w:style w:type="paragraph" w:styleId="Kop2">
    <w:name w:val="heading 2"/>
    <w:basedOn w:val="Standaard"/>
    <w:next w:val="Standaard"/>
    <w:link w:val="Kop2Char"/>
    <w:uiPriority w:val="9"/>
    <w:unhideWhenUsed/>
    <w:qFormat/>
    <w:rsid w:val="00047508"/>
    <w:pPr>
      <w:keepNext/>
      <w:keepLines/>
      <w:spacing w:before="200" w:after="0"/>
      <w:outlineLvl w:val="1"/>
    </w:pPr>
    <w:rPr>
      <w:rFonts w:ascii="Arial" w:eastAsiaTheme="majorEastAsia" w:hAnsi="Arial" w:cstheme="majorBidi"/>
      <w:color w:val="009691"/>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47508"/>
    <w:rPr>
      <w:rFonts w:ascii="Arial" w:eastAsiaTheme="majorEastAsia" w:hAnsi="Arial" w:cstheme="majorBidi"/>
      <w:b/>
      <w:color w:val="009691"/>
      <w:sz w:val="24"/>
      <w:szCs w:val="24"/>
    </w:rPr>
  </w:style>
  <w:style w:type="character" w:customStyle="1" w:styleId="Kop2Char">
    <w:name w:val="Kop 2 Char"/>
    <w:basedOn w:val="Standaardalinea-lettertype"/>
    <w:link w:val="Kop2"/>
    <w:uiPriority w:val="9"/>
    <w:rsid w:val="00047508"/>
    <w:rPr>
      <w:rFonts w:ascii="Arial" w:eastAsiaTheme="majorEastAsia" w:hAnsi="Arial" w:cstheme="majorBidi"/>
      <w:color w:val="009691"/>
      <w:sz w:val="24"/>
      <w:szCs w:val="24"/>
    </w:rPr>
  </w:style>
  <w:style w:type="paragraph" w:styleId="Lijstalinea">
    <w:name w:val="List Paragraph"/>
    <w:basedOn w:val="Standaard"/>
    <w:link w:val="LijstalineaChar"/>
    <w:uiPriority w:val="34"/>
    <w:qFormat/>
    <w:rsid w:val="00056509"/>
    <w:pPr>
      <w:ind w:left="720"/>
      <w:contextualSpacing/>
    </w:pPr>
  </w:style>
  <w:style w:type="paragraph" w:styleId="Ballontekst">
    <w:name w:val="Balloon Text"/>
    <w:basedOn w:val="Standaard"/>
    <w:link w:val="BallontekstChar"/>
    <w:uiPriority w:val="99"/>
    <w:semiHidden/>
    <w:unhideWhenUsed/>
    <w:rsid w:val="0001521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15219"/>
    <w:rPr>
      <w:rFonts w:ascii="Tahoma" w:hAnsi="Tahoma" w:cs="Tahoma"/>
      <w:sz w:val="16"/>
      <w:szCs w:val="16"/>
    </w:rPr>
  </w:style>
  <w:style w:type="paragraph" w:styleId="Koptekst">
    <w:name w:val="header"/>
    <w:basedOn w:val="Standaard"/>
    <w:link w:val="KoptekstChar"/>
    <w:uiPriority w:val="99"/>
    <w:unhideWhenUsed/>
    <w:rsid w:val="00CD0A9F"/>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D0A9F"/>
  </w:style>
  <w:style w:type="paragraph" w:styleId="Voettekst">
    <w:name w:val="footer"/>
    <w:basedOn w:val="Standaard"/>
    <w:link w:val="VoettekstChar"/>
    <w:uiPriority w:val="99"/>
    <w:unhideWhenUsed/>
    <w:rsid w:val="00CD0A9F"/>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D0A9F"/>
  </w:style>
  <w:style w:type="character" w:styleId="Verwijzingopmerking">
    <w:name w:val="annotation reference"/>
    <w:basedOn w:val="Standaardalinea-lettertype"/>
    <w:uiPriority w:val="99"/>
    <w:semiHidden/>
    <w:unhideWhenUsed/>
    <w:rsid w:val="006E3FF0"/>
    <w:rPr>
      <w:sz w:val="16"/>
      <w:szCs w:val="16"/>
    </w:rPr>
  </w:style>
  <w:style w:type="paragraph" w:styleId="Tekstopmerking">
    <w:name w:val="annotation text"/>
    <w:basedOn w:val="Standaard"/>
    <w:link w:val="TekstopmerkingChar"/>
    <w:uiPriority w:val="99"/>
    <w:unhideWhenUsed/>
    <w:rsid w:val="006E3FF0"/>
    <w:pPr>
      <w:spacing w:line="240" w:lineRule="auto"/>
    </w:pPr>
    <w:rPr>
      <w:sz w:val="20"/>
      <w:szCs w:val="20"/>
    </w:rPr>
  </w:style>
  <w:style w:type="character" w:customStyle="1" w:styleId="TekstopmerkingChar">
    <w:name w:val="Tekst opmerking Char"/>
    <w:basedOn w:val="Standaardalinea-lettertype"/>
    <w:link w:val="Tekstopmerking"/>
    <w:uiPriority w:val="99"/>
    <w:rsid w:val="006E3FF0"/>
    <w:rPr>
      <w:sz w:val="20"/>
      <w:szCs w:val="20"/>
    </w:rPr>
  </w:style>
  <w:style w:type="paragraph" w:styleId="Onderwerpvanopmerking">
    <w:name w:val="annotation subject"/>
    <w:basedOn w:val="Tekstopmerking"/>
    <w:next w:val="Tekstopmerking"/>
    <w:link w:val="OnderwerpvanopmerkingChar"/>
    <w:uiPriority w:val="99"/>
    <w:semiHidden/>
    <w:unhideWhenUsed/>
    <w:rsid w:val="006E3FF0"/>
    <w:rPr>
      <w:b/>
      <w:bCs/>
    </w:rPr>
  </w:style>
  <w:style w:type="character" w:customStyle="1" w:styleId="OnderwerpvanopmerkingChar">
    <w:name w:val="Onderwerp van opmerking Char"/>
    <w:basedOn w:val="TekstopmerkingChar"/>
    <w:link w:val="Onderwerpvanopmerking"/>
    <w:uiPriority w:val="99"/>
    <w:semiHidden/>
    <w:rsid w:val="006E3FF0"/>
    <w:rPr>
      <w:b/>
      <w:bCs/>
      <w:sz w:val="20"/>
      <w:szCs w:val="20"/>
    </w:rPr>
  </w:style>
  <w:style w:type="paragraph" w:customStyle="1" w:styleId="xmsonormal">
    <w:name w:val="x_msonormal"/>
    <w:basedOn w:val="Standaard"/>
    <w:rsid w:val="00C06AEB"/>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LijstalineaChar">
    <w:name w:val="Lijstalinea Char"/>
    <w:basedOn w:val="Standaardalinea-lettertype"/>
    <w:link w:val="Lijstalinea"/>
    <w:uiPriority w:val="34"/>
    <w:locked/>
    <w:rsid w:val="00F721ED"/>
  </w:style>
  <w:style w:type="table" w:styleId="Tabelraster">
    <w:name w:val="Table Grid"/>
    <w:basedOn w:val="Standaardtabel"/>
    <w:uiPriority w:val="39"/>
    <w:rsid w:val="009C11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991985">
      <w:bodyDiv w:val="1"/>
      <w:marLeft w:val="0"/>
      <w:marRight w:val="0"/>
      <w:marTop w:val="0"/>
      <w:marBottom w:val="0"/>
      <w:divBdr>
        <w:top w:val="none" w:sz="0" w:space="0" w:color="auto"/>
        <w:left w:val="none" w:sz="0" w:space="0" w:color="auto"/>
        <w:bottom w:val="none" w:sz="0" w:space="0" w:color="auto"/>
        <w:right w:val="none" w:sz="0" w:space="0" w:color="auto"/>
      </w:divBdr>
    </w:div>
    <w:div w:id="506598350">
      <w:bodyDiv w:val="1"/>
      <w:marLeft w:val="0"/>
      <w:marRight w:val="0"/>
      <w:marTop w:val="0"/>
      <w:marBottom w:val="0"/>
      <w:divBdr>
        <w:top w:val="none" w:sz="0" w:space="0" w:color="auto"/>
        <w:left w:val="none" w:sz="0" w:space="0" w:color="auto"/>
        <w:bottom w:val="none" w:sz="0" w:space="0" w:color="auto"/>
        <w:right w:val="none" w:sz="0" w:space="0" w:color="auto"/>
      </w:divBdr>
    </w:div>
    <w:div w:id="557669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c759bf6-42e2-4be2-8076-ca901ae762be">
      <Terms xmlns="http://schemas.microsoft.com/office/infopath/2007/PartnerControls"/>
    </lcf76f155ced4ddcb4097134ff3c332f>
    <Status xmlns="8c759bf6-42e2-4be2-8076-ca901ae762be" xsi:nil="true"/>
    <Projectleider xmlns="8c759bf6-42e2-4be2-8076-ca901ae762be">
      <UserInfo>
        <DisplayName/>
        <AccountId xsi:nil="true"/>
        <AccountType/>
      </UserInfo>
    </Projectleider>
    <TaxCatchAll xmlns="0aa5b8dd-10c7-4ace-84a3-8edf5dd86461" xsi:nil="true"/>
    <Datumentijd xmlns="8c759bf6-42e2-4be2-8076-ca901ae762be" xsi:nil="true"/>
    <MediaLengthInSeconds xmlns="8c759bf6-42e2-4be2-8076-ca901ae762be" xsi:nil="true"/>
    <SharedWithUsers xmlns="0aa5b8dd-10c7-4ace-84a3-8edf5dd86461">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E83786E03581C45827B29F1E77DA2F2" ma:contentTypeVersion="20" ma:contentTypeDescription="Een nieuw document maken." ma:contentTypeScope="" ma:versionID="71cd0936f3824338081a3cf56b6717b8">
  <xsd:schema xmlns:xsd="http://www.w3.org/2001/XMLSchema" xmlns:xs="http://www.w3.org/2001/XMLSchema" xmlns:p="http://schemas.microsoft.com/office/2006/metadata/properties" xmlns:ns2="8c759bf6-42e2-4be2-8076-ca901ae762be" xmlns:ns3="0aa5b8dd-10c7-4ace-84a3-8edf5dd86461" targetNamespace="http://schemas.microsoft.com/office/2006/metadata/properties" ma:root="true" ma:fieldsID="cf93b9f5fa3e38e4538f56586e16d218" ns2:_="" ns3:_="">
    <xsd:import namespace="8c759bf6-42e2-4be2-8076-ca901ae762be"/>
    <xsd:import namespace="0aa5b8dd-10c7-4ace-84a3-8edf5dd8646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MediaServiceLocation" minOccurs="0"/>
                <xsd:element ref="ns2:MediaServiceGenerationTime" minOccurs="0"/>
                <xsd:element ref="ns2:MediaServiceEventHashCode" minOccurs="0"/>
                <xsd:element ref="ns3:TaxCatchAll" minOccurs="0"/>
                <xsd:element ref="ns2:lcf76f155ced4ddcb4097134ff3c332f" minOccurs="0"/>
                <xsd:element ref="ns2:MediaServiceOCR" minOccurs="0"/>
                <xsd:element ref="ns3:SharedWithUsers" minOccurs="0"/>
                <xsd:element ref="ns3:SharedWithDetails" minOccurs="0"/>
                <xsd:element ref="ns2:Projectleider" minOccurs="0"/>
                <xsd:element ref="ns2:Status" minOccurs="0"/>
                <xsd:element ref="ns2:Datumentijd"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759bf6-42e2-4be2-8076-ca901ae762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Location" ma:index="13" nillable="true" ma:displayName="Location" ma:descrip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Afbeeldingtags" ma:readOnly="false" ma:fieldId="{5cf76f15-5ced-4ddc-b409-7134ff3c332f}" ma:taxonomyMulti="true" ma:sspId="d5d20fea-fdae-4f2f-ac66-dc9eff6945b3"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Projectleider" ma:index="22" nillable="true" ma:displayName="Projectleider" ma:list="UserInfo" ma:SharePointGroup="0" ma:internalName="Projectleid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atus" ma:index="23" nillable="true" ma:displayName="Status" ma:default="n ontwikkeling" ma:format="Dropdown" ma:internalName="Status">
      <xsd:simpleType>
        <xsd:restriction base="dms:Choice">
          <xsd:enumeration value="n ontwikkeling"/>
          <xsd:enumeration value="Actief"/>
          <xsd:enumeration value="Geschorst"/>
          <xsd:enumeration value="Teruggetrokken"/>
        </xsd:restriction>
      </xsd:simpleType>
    </xsd:element>
    <xsd:element name="Datumentijd" ma:index="24" nillable="true" ma:displayName="Datumentijd" ma:format="DateOnly" ma:internalName="Datumentijd">
      <xsd:simpleType>
        <xsd:restriction base="dms:DateTim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aa5b8dd-10c7-4ace-84a3-8edf5dd86461"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b70d6591-0ab7-4ad1-93a7-6d3bab08a52b}" ma:internalName="TaxCatchAll" ma:showField="CatchAllData" ma:web="0aa5b8dd-10c7-4ace-84a3-8edf5dd86461">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9A89089-64AD-4834-9CA6-A80789D2C21A}">
  <ds:schemaRefs>
    <ds:schemaRef ds:uri="http://schemas.microsoft.com/sharepoint/v3/contenttype/forms"/>
  </ds:schemaRefs>
</ds:datastoreItem>
</file>

<file path=customXml/itemProps2.xml><?xml version="1.0" encoding="utf-8"?>
<ds:datastoreItem xmlns:ds="http://schemas.openxmlformats.org/officeDocument/2006/customXml" ds:itemID="{36E0A75F-1063-4F9A-BB90-50D65C7698C0}">
  <ds:schemaRefs>
    <ds:schemaRef ds:uri="http://schemas.microsoft.com/office/2006/metadata/properties"/>
    <ds:schemaRef ds:uri="http://schemas.microsoft.com/office/infopath/2007/PartnerControls"/>
    <ds:schemaRef ds:uri="8c759bf6-42e2-4be2-8076-ca901ae762be"/>
    <ds:schemaRef ds:uri="0aa5b8dd-10c7-4ace-84a3-8edf5dd86461"/>
  </ds:schemaRefs>
</ds:datastoreItem>
</file>

<file path=customXml/itemProps3.xml><?xml version="1.0" encoding="utf-8"?>
<ds:datastoreItem xmlns:ds="http://schemas.openxmlformats.org/officeDocument/2006/customXml" ds:itemID="{E8682351-88EC-416D-AFD8-F42E4671DD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759bf6-42e2-4be2-8076-ca901ae762be"/>
    <ds:schemaRef ds:uri="0aa5b8dd-10c7-4ace-84a3-8edf5dd864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2</Pages>
  <Words>756</Words>
  <Characters>4163</Characters>
  <Application>Microsoft Office Word</Application>
  <DocSecurity>0</DocSecurity>
  <Lines>34</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TenneT TSO B.V.</Company>
  <LinksUpToDate>false</LinksUpToDate>
  <CharactersWithSpaces>4910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Huijbregts, Ad</dc:creator>
  <cp:lastModifiedBy>Ron van der Aa</cp:lastModifiedBy>
  <cp:revision>41</cp:revision>
  <cp:lastPrinted>2023-07-03T11:15:00Z</cp:lastPrinted>
  <dcterms:created xsi:type="dcterms:W3CDTF">2024-03-04T08:47:00Z</dcterms:created>
  <dcterms:modified xsi:type="dcterms:W3CDTF">2024-03-04T11:46:00Z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0x0101000E83786E03581C45827B29F1E77DA2F2</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